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40"/>
        </w:rPr>
      </w:pPr>
      <w:r>
        <w:rPr>
          <w:rFonts w:hint="eastAsia" w:ascii="方正小标宋简体" w:eastAsia="方正小标宋简体"/>
          <w:sz w:val="40"/>
          <w:szCs w:val="40"/>
        </w:rPr>
        <w:t>关于促进蓬江区建筑业持续健康发展的</w:t>
      </w:r>
    </w:p>
    <w:p>
      <w:pPr>
        <w:jc w:val="center"/>
        <w:rPr>
          <w:rFonts w:ascii="方正小标宋简体" w:eastAsia="方正小标宋简体"/>
          <w:sz w:val="40"/>
          <w:szCs w:val="40"/>
        </w:rPr>
      </w:pPr>
      <w:r>
        <w:rPr>
          <w:rFonts w:hint="eastAsia" w:ascii="方正小标宋简体" w:eastAsia="方正小标宋简体"/>
          <w:sz w:val="40"/>
          <w:szCs w:val="40"/>
        </w:rPr>
        <w:t>若干意见（试行）</w:t>
      </w:r>
    </w:p>
    <w:p>
      <w:pPr>
        <w:jc w:val="center"/>
        <w:rPr>
          <w:rFonts w:ascii="仿宋_GB2312" w:eastAsia="仿宋_GB2312"/>
          <w:sz w:val="32"/>
          <w:szCs w:val="32"/>
        </w:rPr>
      </w:pPr>
      <w:r>
        <w:rPr>
          <w:rFonts w:hint="eastAsia" w:ascii="仿宋_GB2312" w:eastAsia="仿宋_GB2312"/>
          <w:sz w:val="32"/>
          <w:szCs w:val="32"/>
        </w:rPr>
        <w:t>（征求意见稿）</w:t>
      </w:r>
    </w:p>
    <w:p>
      <w:pPr>
        <w:jc w:val="center"/>
        <w:rPr>
          <w:rFonts w:ascii="方正小标宋简体" w:eastAsia="方正小标宋简体"/>
          <w:sz w:val="40"/>
          <w:szCs w:val="40"/>
        </w:rPr>
      </w:pPr>
    </w:p>
    <w:p>
      <w:pPr>
        <w:rPr>
          <w:rFonts w:ascii="仿宋_GB2312" w:eastAsia="仿宋_GB2312"/>
          <w:sz w:val="32"/>
          <w:szCs w:val="32"/>
        </w:rPr>
      </w:pPr>
      <w:r>
        <w:rPr>
          <w:rFonts w:hint="eastAsia" w:ascii="仿宋_GB2312" w:eastAsia="仿宋_GB2312"/>
          <w:sz w:val="32"/>
          <w:szCs w:val="32"/>
        </w:rPr>
        <w:t xml:space="preserve">    为促进我区建筑业持续健康</w:t>
      </w:r>
      <w:bookmarkStart w:id="3" w:name="_GoBack"/>
      <w:bookmarkEnd w:id="3"/>
      <w:r>
        <w:rPr>
          <w:rFonts w:hint="eastAsia" w:ascii="仿宋_GB2312" w:eastAsia="仿宋_GB2312"/>
          <w:sz w:val="32"/>
          <w:szCs w:val="32"/>
        </w:rPr>
        <w:t>有序发展，增强建筑业整体实力和综合竞争力，打响“蓬江建造”品牌，根据《国务院办公厅关于促进建筑业持续健康发展的意见》（国办发〔2017〕19号）、《广东省住房和城乡建设厅关于进一步促进建筑业持续健康发展的通知》（粤建市〔2018〕142号）等文件精神，借鉴先进地区经验并结合我区工作实际，现制定促进我区建筑业持续健康发展的具体意见如下：</w:t>
      </w:r>
    </w:p>
    <w:p>
      <w:pPr>
        <w:rPr>
          <w:rFonts w:ascii="黑体" w:hAnsi="黑体" w:eastAsia="黑体"/>
          <w:sz w:val="32"/>
          <w:szCs w:val="32"/>
        </w:rPr>
      </w:pPr>
      <w:r>
        <w:rPr>
          <w:rFonts w:hint="eastAsia" w:ascii="黑体" w:hAnsi="黑体" w:eastAsia="黑体"/>
          <w:sz w:val="32"/>
          <w:szCs w:val="32"/>
        </w:rPr>
        <w:t xml:space="preserve">    一、做大总量，提升建筑业发展基础</w:t>
      </w:r>
    </w:p>
    <w:p>
      <w:pPr>
        <w:ind w:firstLine="630"/>
        <w:jc w:val="both"/>
        <w:rPr>
          <w:rFonts w:hint="eastAsia" w:ascii="仿宋_GB2312" w:eastAsia="仿宋_GB2312"/>
          <w:b/>
          <w:bCs/>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鼓励区外大型建筑业企业以变更注册地方式将总部迁入我区；鼓励区外大型建筑业企业通过设立法人公司或通过兼并、重组等方式落户我区；支持我区企业通过收购等方式引进外地建筑业企业变更注册地落</w:t>
      </w:r>
      <w:r>
        <w:rPr>
          <w:rFonts w:hint="eastAsia" w:ascii="仿宋_GB2312" w:eastAsia="仿宋_GB2312"/>
          <w:sz w:val="32"/>
          <w:szCs w:val="32"/>
          <w:lang w:eastAsia="zh-CN"/>
        </w:rPr>
        <w:t>户</w:t>
      </w:r>
      <w:r>
        <w:rPr>
          <w:rFonts w:hint="eastAsia" w:ascii="仿宋_GB2312" w:eastAsia="仿宋_GB2312"/>
          <w:sz w:val="32"/>
          <w:szCs w:val="32"/>
        </w:rPr>
        <w:t>我区。上述企业注册地在我区并依法纳税，承诺五年内不再外迁的，</w:t>
      </w:r>
      <w:r>
        <w:rPr>
          <w:rFonts w:hint="eastAsia" w:ascii="仿宋_GB2312" w:eastAsia="仿宋_GB2312"/>
          <w:sz w:val="32"/>
          <w:szCs w:val="32"/>
          <w:highlight w:val="none"/>
        </w:rPr>
        <w:t>特级资质的施工总承包企业每年奖励200万元，一级资质的施工总承包企业每年奖励50万元，二级资质的施工总承包企业每年奖励20万元，上述奖励从企业落户我区次年起连续奖励三年。</w:t>
      </w:r>
      <w:r>
        <w:rPr>
          <w:rFonts w:hint="eastAsia" w:ascii="仿宋_GB2312" w:eastAsia="仿宋_GB2312"/>
          <w:b/>
          <w:bCs/>
          <w:sz w:val="32"/>
          <w:szCs w:val="32"/>
          <w:lang w:eastAsia="zh-CN"/>
        </w:rPr>
        <w:t>（责任单位：区住房和城乡建设局、区农业农村和水利局、区科工商务局、区市场监督管理局、区财政局、区税务局、建筑企业所在地镇政府、街道办）</w:t>
      </w:r>
    </w:p>
    <w:p>
      <w:pPr>
        <w:ind w:firstLine="630"/>
        <w:rPr>
          <w:rFonts w:hint="eastAsia" w:ascii="仿宋_GB2312" w:eastAsia="仿宋_GB2312"/>
          <w:b/>
          <w:bCs/>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highlight w:val="none"/>
        </w:rPr>
        <w:t>引导辖区有实力的施工队伍、商事主体在我区注册成立建筑业企业；鼓励通过招商引资等方式引进区外资本特别是房地产开发企业在我区设立建筑业企业</w:t>
      </w:r>
      <w:r>
        <w:rPr>
          <w:rFonts w:hint="eastAsia" w:ascii="仿宋_GB2312" w:eastAsia="仿宋_GB2312"/>
          <w:sz w:val="32"/>
          <w:szCs w:val="32"/>
        </w:rPr>
        <w:t>。上述企业注册地在我区并依法取得施工总承包资质、在我区依法纳税并承诺五年内不迁出的，一次性奖励15万元。</w:t>
      </w:r>
      <w:r>
        <w:rPr>
          <w:rFonts w:hint="eastAsia" w:ascii="仿宋_GB2312" w:eastAsia="仿宋_GB2312"/>
          <w:b/>
          <w:bCs/>
          <w:sz w:val="32"/>
          <w:szCs w:val="32"/>
          <w:lang w:eastAsia="zh-CN"/>
        </w:rPr>
        <w:t>（责任单位：区住房和城乡建设局、区农业农村和水利局、区科工商务局、区市场监督管理局、区财政局、区税务局、建筑企业所在地镇政府、街道办）</w:t>
      </w:r>
    </w:p>
    <w:p>
      <w:pPr>
        <w:ind w:firstLine="630"/>
        <w:rPr>
          <w:rFonts w:hint="eastAsia" w:ascii="仿宋_GB2312" w:eastAsia="仿宋_GB2312"/>
          <w:b/>
          <w:bCs/>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鼓励建筑业企业升级现有资质，提升综合竞争力。注册地在我区并依法纳税的辖区建筑业企业升级为特级施工总承包资质的，给予一次性奖励500万元，升级为一级施工总承包资质的，给予一次性奖励100万元，升级为二级总承包资质的，给予一次性奖励50万元。</w:t>
      </w:r>
      <w:r>
        <w:rPr>
          <w:rFonts w:hint="eastAsia" w:ascii="仿宋_GB2312" w:eastAsia="仿宋_GB2312"/>
          <w:b/>
          <w:bCs/>
          <w:sz w:val="32"/>
          <w:szCs w:val="32"/>
          <w:lang w:eastAsia="zh-CN"/>
        </w:rPr>
        <w:t>（责任单位：区住房和城乡建设局、区农业农村和水利局、区财政局、区税务局、建筑企业所在地镇政府、街道办）</w:t>
      </w:r>
    </w:p>
    <w:p>
      <w:pPr>
        <w:ind w:firstLine="630"/>
        <w:rPr>
          <w:rFonts w:ascii="黑体" w:hAnsi="黑体" w:eastAsia="黑体"/>
          <w:sz w:val="32"/>
          <w:szCs w:val="32"/>
        </w:rPr>
      </w:pPr>
      <w:r>
        <w:rPr>
          <w:rFonts w:hint="eastAsia" w:ascii="黑体" w:hAnsi="黑体" w:eastAsia="黑体"/>
          <w:sz w:val="32"/>
          <w:szCs w:val="32"/>
        </w:rPr>
        <w:t>二、做强质量，提升建筑业整体实力</w:t>
      </w:r>
    </w:p>
    <w:p>
      <w:pPr>
        <w:ind w:firstLine="630"/>
        <w:rPr>
          <w:rFonts w:hint="eastAsia" w:ascii="仿宋_GB2312" w:eastAsia="仿宋_GB2312"/>
          <w:b/>
          <w:bCs/>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rPr>
        <w:t>鼓励建筑业企业创先争优，打造优良样板工程、精品工程，打响“蓬江建造”品牌。在蓬江辖区范围内，建设工程项目获得“鲁班奖”、“詹天佑奖”、“大禹奖”的，奖励建设项目施工总承包单位100万元，奖励项目负责人3万元，获得省建设工程优质奖的，奖励施工总承包单位30万元，项目负责人1万元，获得市建设工程优质奖的，奖励施工总承包单位5万元。获奖项目由注册地在我区的建筑业企业作为总承包单位的，奖励金在上述基础上再增加30%。获得其他奖项的，按有关规定奖励。</w:t>
      </w:r>
      <w:r>
        <w:rPr>
          <w:rFonts w:hint="eastAsia" w:ascii="仿宋_GB2312" w:eastAsia="仿宋_GB2312"/>
          <w:b/>
          <w:bCs/>
          <w:sz w:val="32"/>
          <w:szCs w:val="32"/>
          <w:lang w:eastAsia="zh-CN"/>
        </w:rPr>
        <w:t>（责任单位：区住房和城乡建设局、区农业农村和水利局、区财政局）</w:t>
      </w:r>
    </w:p>
    <w:p>
      <w:pPr>
        <w:ind w:firstLine="630"/>
        <w:rPr>
          <w:rFonts w:hint="eastAsia" w:ascii="仿宋_GB2312" w:eastAsia="仿宋_GB2312"/>
          <w:b/>
          <w:bCs/>
          <w:sz w:val="32"/>
          <w:szCs w:val="32"/>
          <w:lang w:eastAsia="zh-CN"/>
        </w:rPr>
      </w:pPr>
      <w:r>
        <w:rPr>
          <w:rFonts w:hint="eastAsia" w:ascii="仿宋_GB2312" w:eastAsia="仿宋_GB2312"/>
          <w:sz w:val="32"/>
          <w:szCs w:val="32"/>
          <w:lang w:val="en-US" w:eastAsia="zh-CN"/>
        </w:rPr>
        <w:t>（二）</w:t>
      </w:r>
      <w:r>
        <w:rPr>
          <w:rFonts w:hint="eastAsia" w:ascii="仿宋_GB2312" w:eastAsia="仿宋_GB2312"/>
          <w:sz w:val="32"/>
          <w:szCs w:val="32"/>
        </w:rPr>
        <w:t>鼓励企业拓展域外市场，助力我区经济发展。我区建筑业企业在区外承建工程并回我区纳税，年度申报纳税的合同价超过5000万元的，给予企业一次性奖励10万元。鼓励建筑业企业在我区依法如实入库报统，经有关部门确认企业年度建筑业总产值超过2亿元的，一次性奖励10万元；企业年度建筑业总产值在我区排名前五名且较上年增速超15%的，一次性奖励10万元。上述奖励自</w:t>
      </w:r>
      <w:r>
        <w:rPr>
          <w:rFonts w:hint="eastAsia" w:ascii="仿宋_GB2312" w:eastAsia="仿宋_GB2312"/>
          <w:sz w:val="32"/>
          <w:szCs w:val="32"/>
          <w:lang w:val="en-US" w:eastAsia="zh-CN"/>
        </w:rPr>
        <w:t>2020</w:t>
      </w:r>
      <w:r>
        <w:rPr>
          <w:rFonts w:hint="eastAsia" w:ascii="仿宋_GB2312" w:eastAsia="仿宋_GB2312"/>
          <w:sz w:val="32"/>
          <w:szCs w:val="32"/>
        </w:rPr>
        <w:t>年度起连续执行3年。</w:t>
      </w:r>
      <w:r>
        <w:rPr>
          <w:rFonts w:hint="eastAsia" w:ascii="仿宋_GB2312" w:eastAsia="仿宋_GB2312"/>
          <w:b/>
          <w:bCs/>
          <w:sz w:val="32"/>
          <w:szCs w:val="32"/>
          <w:lang w:eastAsia="zh-CN"/>
        </w:rPr>
        <w:t>（责任单位：区住房和城乡建设局、区农业农村和水利局、区财政局、区税务局）</w:t>
      </w:r>
    </w:p>
    <w:p>
      <w:pPr>
        <w:ind w:firstLine="630"/>
        <w:rPr>
          <w:rFonts w:hint="eastAsia" w:ascii="仿宋_GB2312" w:eastAsia="仿宋_GB2312"/>
          <w:b/>
          <w:bCs/>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支持企业科技创新，我区建筑业企业被认定为高新技术企业，或满足《科技型中小企业评价办法》要求的，税务部门按照法定最优惠的税收政策进行征税，我区建筑业企业积极应用“互联网+”、建筑信息模型（BIM）等新技术，用于企业信息化建</w:t>
      </w:r>
      <w:r>
        <w:rPr>
          <w:rFonts w:hint="eastAsia" w:ascii="仿宋_GB2312" w:eastAsia="仿宋_GB2312"/>
          <w:sz w:val="32"/>
          <w:szCs w:val="32"/>
          <w:highlight w:val="none"/>
        </w:rPr>
        <w:t>设的费用，可按规定在企业所得税前扣除。我区建筑业企业在发明专利、新技术应用</w:t>
      </w:r>
      <w:r>
        <w:rPr>
          <w:rFonts w:hint="eastAsia" w:ascii="仿宋_GB2312" w:eastAsia="仿宋_GB2312"/>
          <w:sz w:val="32"/>
          <w:szCs w:val="32"/>
        </w:rPr>
        <w:t>、新工法研发等技术创新方面获得国家或省级有关奖项并有奖金的，我区按上级奖金标准再追加50%予以奖励。</w:t>
      </w:r>
      <w:r>
        <w:rPr>
          <w:rFonts w:hint="eastAsia" w:ascii="仿宋_GB2312" w:eastAsia="仿宋_GB2312"/>
          <w:b/>
          <w:bCs/>
          <w:sz w:val="32"/>
          <w:szCs w:val="32"/>
          <w:lang w:eastAsia="zh-CN"/>
        </w:rPr>
        <w:t>（责任单位：区住房和城乡建设局、区农业农村和水利局、区科工商务局、区财政局、区税务局）</w:t>
      </w:r>
    </w:p>
    <w:p>
      <w:pPr>
        <w:ind w:firstLine="630"/>
        <w:jc w:val="left"/>
        <w:rPr>
          <w:rFonts w:ascii="黑体" w:hAnsi="黑体" w:eastAsia="黑体"/>
          <w:sz w:val="32"/>
          <w:szCs w:val="32"/>
        </w:rPr>
      </w:pPr>
      <w:r>
        <w:rPr>
          <w:rFonts w:hint="eastAsia" w:ascii="黑体" w:hAnsi="黑体" w:eastAsia="黑体"/>
          <w:sz w:val="32"/>
          <w:szCs w:val="32"/>
        </w:rPr>
        <w:t>三、做优服务，提升建筑业发展环境</w:t>
      </w:r>
    </w:p>
    <w:p>
      <w:pPr>
        <w:ind w:firstLine="630"/>
        <w:rPr>
          <w:rFonts w:hint="eastAsia" w:ascii="仿宋_GB2312" w:eastAsia="仿宋_GB2312"/>
          <w:b/>
          <w:bCs/>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rPr>
        <w:t>加强建筑业人才培养，做好行业人才队伍建设。我区建筑业企业引进或培养的符合市、区评价标准的高层次人才和紧缺适用人才，优先兑现住房待遇、子女就学、配偶就业等各项人才优惠政策，符合条件的，优先推荐作为劳动模范候选人。我区建筑行业从业人员</w:t>
      </w:r>
      <w:r>
        <w:rPr>
          <w:rFonts w:hint="eastAsia" w:ascii="仿宋_GB2312" w:eastAsia="仿宋_GB2312"/>
          <w:sz w:val="32"/>
          <w:szCs w:val="32"/>
          <w:lang w:eastAsia="zh-CN"/>
        </w:rPr>
        <w:t>提升</w:t>
      </w:r>
      <w:r>
        <w:rPr>
          <w:rFonts w:hint="eastAsia" w:ascii="仿宋_GB2312" w:eastAsia="仿宋_GB2312"/>
          <w:sz w:val="32"/>
          <w:szCs w:val="32"/>
        </w:rPr>
        <w:t>职称等级的，</w:t>
      </w:r>
      <w:r>
        <w:rPr>
          <w:rFonts w:hint="eastAsia" w:ascii="仿宋_GB2312" w:eastAsia="仿宋_GB2312"/>
          <w:sz w:val="32"/>
          <w:szCs w:val="32"/>
          <w:lang w:val="en-US" w:eastAsia="zh-CN"/>
        </w:rPr>
        <w:t>2020年1月后</w:t>
      </w:r>
      <w:r>
        <w:rPr>
          <w:rFonts w:hint="eastAsia" w:ascii="仿宋_GB2312" w:eastAsia="仿宋_GB2312"/>
          <w:sz w:val="32"/>
          <w:szCs w:val="32"/>
          <w:highlight w:val="none"/>
        </w:rPr>
        <w:t>按</w:t>
      </w:r>
      <w:r>
        <w:rPr>
          <w:rFonts w:hint="eastAsia" w:ascii="仿宋_GB2312" w:eastAsia="仿宋_GB2312"/>
          <w:sz w:val="32"/>
          <w:szCs w:val="32"/>
          <w:highlight w:val="none"/>
          <w:lang w:eastAsia="zh-CN"/>
        </w:rPr>
        <w:t>要求取得副高以上职称的专业技术人员，副高级职称可获得</w:t>
      </w:r>
      <w:r>
        <w:rPr>
          <w:rFonts w:hint="eastAsia" w:ascii="仿宋_GB2312" w:eastAsia="仿宋_GB2312"/>
          <w:sz w:val="32"/>
          <w:szCs w:val="32"/>
          <w:highlight w:val="none"/>
          <w:lang w:val="en-US" w:eastAsia="zh-CN"/>
        </w:rPr>
        <w:t>2万元的补贴，正高级职称可获得5万元的补贴。</w:t>
      </w:r>
      <w:r>
        <w:rPr>
          <w:rFonts w:hint="eastAsia" w:ascii="仿宋_GB2312" w:eastAsia="仿宋_GB2312"/>
          <w:b/>
          <w:bCs/>
          <w:sz w:val="32"/>
          <w:szCs w:val="32"/>
          <w:lang w:eastAsia="zh-CN"/>
        </w:rPr>
        <w:t>（责任单位：区人力资源和社会保障局、区住房和城乡建设局、区农业农村和水利局、区财政局）</w:t>
      </w:r>
    </w:p>
    <w:p>
      <w:pPr>
        <w:ind w:firstLine="630"/>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加强政策支持，加大金融扶持。加强银企合作，鼓励金融机构对符合条件重点骨干建筑业企业提高贷款授信额度，减轻企业融资负担，鼓励金融机构探索开展凭施工合同、施工许可证审贷授信服务。继续做好“民工惠”、“劳务通”推广工作，支持金融机构依据建筑业企业用工实名信息化管理情况给予定向金融服务。落实政府服务，加强各项优惠政策落地，工商、财税、住建等部门建立服务联动机制，依法加强对建筑业企业的指导帮助，协助企业解决生产经营具体问题，兑现各项优惠政策。发挥行业协会桥梁纽带作用，通过购买服务等方式委托行业协会承担部分统计、调研、检查、宣贯等职能，逐步提高行业协会行业自律和行业服务水平。</w:t>
      </w:r>
      <w:r>
        <w:rPr>
          <w:rFonts w:hint="eastAsia" w:ascii="仿宋_GB2312" w:eastAsia="仿宋_GB2312"/>
          <w:b/>
          <w:bCs/>
          <w:sz w:val="32"/>
          <w:szCs w:val="32"/>
          <w:lang w:eastAsia="zh-CN"/>
        </w:rPr>
        <w:t>（责任单位：区财政局、区税务局、区科工商务局、区住房和城乡建设局、区农业农村和水利局）</w:t>
      </w:r>
    </w:p>
    <w:p>
      <w:pPr>
        <w:ind w:firstLine="630"/>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推动建筑产业现代化，逐步提升建筑业科技水平。加大装配式建筑推广力度，</w:t>
      </w:r>
      <w:r>
        <w:rPr>
          <w:rFonts w:hint="eastAsia" w:ascii="仿宋_GB2312" w:eastAsia="仿宋_GB2312"/>
          <w:sz w:val="32"/>
          <w:szCs w:val="32"/>
          <w:highlight w:val="none"/>
        </w:rPr>
        <w:t>建设项目被确定为国家级和省级</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装配式建筑示范项目、预制构件生产基地被确定为国家级和省级</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装配式建筑构建示范基地的，</w:t>
      </w:r>
      <w:r>
        <w:rPr>
          <w:rFonts w:hint="eastAsia" w:ascii="仿宋_GB2312" w:eastAsia="仿宋_GB2312"/>
          <w:sz w:val="32"/>
          <w:szCs w:val="32"/>
        </w:rPr>
        <w:t>一次性予以50万元资金补贴。加大绿色建筑推广力度，建设项目竣工验收合格，并获得国标或省标一星及以上等级绿色建筑运行评价标识的，按照一星级每平方米10元且单项目总额不超过30万元，二星级每平方米15元且单项目总额不超过60万元，三星级每平方米25元且单项目总额不超过100万元标准予以奖励，所有项目奖励金额不超过建造成本的50%。加大绿色施工推广力度，引导企业加强施工扬尘、噪声等污染防治力度，倡导节水施工，推动建筑废弃物资源化利用和减量化管理，我区在建项目能够落实《建筑工程绿色施工规范》具体要求，被认定为全国建筑业绿色施工示范工程的建设项目，给予施工总承包企业一次性奖励5万元。</w:t>
      </w:r>
      <w:r>
        <w:rPr>
          <w:rFonts w:hint="eastAsia" w:ascii="仿宋_GB2312" w:eastAsia="仿宋_GB2312"/>
          <w:b/>
          <w:bCs/>
          <w:sz w:val="32"/>
          <w:szCs w:val="32"/>
          <w:lang w:eastAsia="zh-CN"/>
        </w:rPr>
        <w:t>（责任单位：区住房和城乡建设局、区农业农村和水利局、区科工商务局、区财政局）</w:t>
      </w:r>
    </w:p>
    <w:p>
      <w:pPr>
        <w:ind w:firstLine="630"/>
        <w:jc w:val="left"/>
        <w:rPr>
          <w:rFonts w:ascii="黑体" w:hAnsi="黑体" w:eastAsia="黑体"/>
          <w:sz w:val="32"/>
          <w:szCs w:val="32"/>
        </w:rPr>
      </w:pPr>
      <w:r>
        <w:rPr>
          <w:rFonts w:hint="eastAsia" w:ascii="黑体" w:hAnsi="黑体" w:eastAsia="黑体"/>
          <w:sz w:val="32"/>
          <w:szCs w:val="32"/>
        </w:rPr>
        <w:t>四、做细监管，提升建筑业管理能力</w:t>
      </w:r>
    </w:p>
    <w:p>
      <w:pPr>
        <w:ind w:firstLine="630"/>
        <w:rPr>
          <w:rFonts w:hint="eastAsia" w:ascii="仿宋_GB2312" w:eastAsia="仿宋_GB2312"/>
          <w:b/>
          <w:bCs/>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着力构建统一开放、规范有序的建筑市场环境。依法加强建筑市场管理，打击治理各类建筑市场违法违规行为。规范建筑行业诚信管理，充分利用既有信用评价制度和失信惩戒制度，及时协助辖区企业做好诚信加分审核工作，继续探索信用信息在招投标、创先争优、工程担保、工程保险、扶优扶强等方面的更多应用。加强工程招投标管理，不断完善招投标制度，依法依规对招投标信息进行全过程公开，坚持“阳光招标”，严厉打击围标串标、恶意竞标等违法犯罪行为。加强工程造价管理，加大对建筑市场计价行为的监督管理力度，引导企业合理报价，避免出现恶性竞争等扰乱市场行为。</w:t>
      </w:r>
      <w:r>
        <w:rPr>
          <w:rFonts w:hint="eastAsia" w:ascii="仿宋_GB2312" w:eastAsia="仿宋_GB2312"/>
          <w:b/>
          <w:bCs/>
          <w:sz w:val="32"/>
          <w:szCs w:val="32"/>
          <w:lang w:eastAsia="zh-CN"/>
        </w:rPr>
        <w:t>（责任单位：区住房和城乡建设局、区农业农村和水利局、区市场监督管理局）</w:t>
      </w:r>
    </w:p>
    <w:p>
      <w:pPr>
        <w:ind w:firstLine="630"/>
        <w:rPr>
          <w:rFonts w:hint="eastAsia" w:ascii="仿宋_GB2312" w:eastAsia="仿宋_GB2312"/>
          <w:b/>
          <w:bCs/>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加强工程质量安全监管，落实工程质量安全责任制。加强工程质量安全监督队伍建设，探索开展政府购买服务方式委托具备条件的社会力量进行工程质量安全监督检查，推动“智慧工地”等监管信息化建设，不断提高工程质量安全监管能力。严格落实各方主体工程质量和安全生产责任，特别要强化建设单位首要责任和勘查、设计、施工、监理等单位的主体责任。严格执行工程质量终身责任制，推行工程质量安全标准化管理，常态化开展“双随机、一公开”、“两场联动”等执法检查，依法打击查处各类违法违规行为。逐步推广工程质量安全保险、担保等制度，继续清理规范各类保证金，积极探索建立第三方风险控制制度。</w:t>
      </w:r>
      <w:r>
        <w:rPr>
          <w:rFonts w:hint="eastAsia" w:ascii="仿宋_GB2312" w:eastAsia="仿宋_GB2312"/>
          <w:b/>
          <w:bCs/>
          <w:sz w:val="32"/>
          <w:szCs w:val="32"/>
          <w:lang w:eastAsia="zh-CN"/>
        </w:rPr>
        <w:t>（责任单位：区住房和城乡建设局、区农业农村和水利局、区市场监督管理局）</w:t>
      </w:r>
    </w:p>
    <w:p>
      <w:pPr>
        <w:ind w:firstLine="630"/>
        <w:rPr>
          <w:rFonts w:hint="eastAsia" w:ascii="仿宋_GB2312" w:eastAsia="仿宋_GB2312"/>
          <w:b/>
          <w:bCs/>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推进工程建设领域审批制度改革。分类推进工程建设项目审批全流程、全覆盖改革，统筹优化审批流程、简化审批事项、压缩审批时限、提高审批效率。将管理内容相近或同一阶段的多个审批事项进行整合或实施并联办理，对工程规划、抗震设防、初步设计、人防、消防、防雷、水土保持等审查验收事项推行联合审查联合验收。</w:t>
      </w:r>
      <w:r>
        <w:rPr>
          <w:rFonts w:hint="eastAsia" w:ascii="仿宋_GB2312" w:eastAsia="仿宋_GB2312"/>
          <w:b/>
          <w:bCs/>
          <w:sz w:val="32"/>
          <w:szCs w:val="32"/>
          <w:lang w:eastAsia="zh-CN"/>
        </w:rPr>
        <w:t>（责任单位：区住房和城乡建设局、区发改局、区自然资源局、区政务服务数据管理局）</w:t>
      </w:r>
    </w:p>
    <w:p>
      <w:pPr>
        <w:ind w:firstLine="630"/>
        <w:jc w:val="left"/>
        <w:rPr>
          <w:rFonts w:hint="eastAsia" w:ascii="黑体" w:hAnsi="黑体" w:eastAsia="黑体"/>
          <w:sz w:val="32"/>
          <w:szCs w:val="32"/>
        </w:rPr>
      </w:pPr>
      <w:r>
        <w:rPr>
          <w:rFonts w:hint="eastAsia" w:ascii="黑体" w:hAnsi="黑体" w:eastAsia="黑体"/>
          <w:sz w:val="32"/>
          <w:szCs w:val="32"/>
        </w:rPr>
        <w:t>五、附则</w:t>
      </w:r>
    </w:p>
    <w:p>
      <w:pPr>
        <w:ind w:firstLine="585"/>
        <w:rPr>
          <w:rFonts w:hint="eastAsia" w:eastAsia="仿宋_GB2312"/>
          <w:sz w:val="32"/>
          <w:szCs w:val="32"/>
          <w:lang w:eastAsia="zh-CN"/>
        </w:rPr>
      </w:pPr>
      <w:r>
        <w:rPr>
          <w:rFonts w:hint="eastAsia" w:ascii="仿宋_GB2312" w:eastAsia="仿宋_GB2312"/>
          <w:sz w:val="32"/>
          <w:szCs w:val="32"/>
          <w:lang w:val="en-US" w:eastAsia="zh-CN"/>
        </w:rPr>
        <w:t>（一）</w:t>
      </w:r>
      <w:r>
        <w:rPr>
          <w:rFonts w:eastAsia="仿宋_GB2312"/>
          <w:sz w:val="32"/>
          <w:szCs w:val="32"/>
        </w:rPr>
        <w:t>本</w:t>
      </w:r>
      <w:r>
        <w:rPr>
          <w:rFonts w:hint="eastAsia" w:eastAsia="仿宋_GB2312"/>
          <w:sz w:val="32"/>
          <w:szCs w:val="32"/>
          <w:lang w:eastAsia="zh-CN"/>
        </w:rPr>
        <w:t>意见</w:t>
      </w:r>
      <w:r>
        <w:rPr>
          <w:rFonts w:eastAsia="仿宋_GB2312"/>
          <w:sz w:val="32"/>
          <w:szCs w:val="32"/>
        </w:rPr>
        <w:t>所提及奖励、扶持、补贴等举措，将由</w:t>
      </w:r>
      <w:r>
        <w:rPr>
          <w:rFonts w:hint="eastAsia" w:eastAsia="仿宋_GB2312"/>
          <w:sz w:val="32"/>
          <w:szCs w:val="32"/>
          <w:lang w:eastAsia="zh-CN"/>
        </w:rPr>
        <w:t>蓬江</w:t>
      </w:r>
      <w:r>
        <w:rPr>
          <w:rFonts w:eastAsia="仿宋_GB2312"/>
          <w:sz w:val="32"/>
          <w:szCs w:val="32"/>
        </w:rPr>
        <w:t>区住房</w:t>
      </w:r>
      <w:r>
        <w:rPr>
          <w:rFonts w:hint="eastAsia" w:eastAsia="仿宋_GB2312"/>
          <w:sz w:val="32"/>
          <w:szCs w:val="32"/>
          <w:lang w:eastAsia="zh-CN"/>
        </w:rPr>
        <w:t>和</w:t>
      </w:r>
      <w:r>
        <w:rPr>
          <w:rFonts w:eastAsia="仿宋_GB2312"/>
          <w:sz w:val="32"/>
          <w:szCs w:val="32"/>
        </w:rPr>
        <w:t>城乡建设局牵头组织相关职能部门</w:t>
      </w:r>
      <w:r>
        <w:rPr>
          <w:rFonts w:hint="eastAsia" w:eastAsia="仿宋_GB2312"/>
          <w:sz w:val="32"/>
          <w:szCs w:val="32"/>
          <w:lang w:eastAsia="zh-CN"/>
        </w:rPr>
        <w:t>根据</w:t>
      </w:r>
      <w:r>
        <w:rPr>
          <w:rFonts w:eastAsia="仿宋_GB2312"/>
          <w:sz w:val="32"/>
          <w:szCs w:val="32"/>
        </w:rPr>
        <w:t>符合本</w:t>
      </w:r>
      <w:r>
        <w:rPr>
          <w:rFonts w:hint="eastAsia" w:eastAsia="仿宋_GB2312"/>
          <w:sz w:val="32"/>
          <w:szCs w:val="32"/>
          <w:lang w:eastAsia="zh-CN"/>
        </w:rPr>
        <w:t>意见</w:t>
      </w:r>
      <w:r>
        <w:rPr>
          <w:rFonts w:eastAsia="仿宋_GB2312"/>
          <w:sz w:val="32"/>
          <w:szCs w:val="32"/>
        </w:rPr>
        <w:t>规定条件的企业和个人实施兑付。符合条件的企业和个人亦可向</w:t>
      </w:r>
      <w:r>
        <w:rPr>
          <w:rFonts w:hint="eastAsia" w:eastAsia="仿宋_GB2312"/>
          <w:sz w:val="32"/>
          <w:szCs w:val="32"/>
          <w:lang w:eastAsia="zh-CN"/>
        </w:rPr>
        <w:t>蓬江区住房和城乡建设局</w:t>
      </w:r>
      <w:r>
        <w:rPr>
          <w:rFonts w:eastAsia="仿宋_GB2312"/>
          <w:sz w:val="32"/>
          <w:szCs w:val="32"/>
        </w:rPr>
        <w:t>提出申请并递交相关证明材料进行申请。（具体见附件1、2）</w:t>
      </w:r>
    </w:p>
    <w:p>
      <w:pPr>
        <w:ind w:firstLine="585"/>
        <w:rPr>
          <w:rFonts w:hint="eastAsia" w:eastAsia="仿宋_GB2312"/>
          <w:sz w:val="32"/>
          <w:szCs w:val="32"/>
          <w:lang w:eastAsia="zh-CN"/>
        </w:rPr>
      </w:pPr>
      <w:r>
        <w:rPr>
          <w:rFonts w:hint="eastAsia" w:ascii="仿宋_GB2312" w:eastAsia="仿宋_GB2312"/>
          <w:sz w:val="32"/>
          <w:szCs w:val="32"/>
          <w:lang w:val="en-US" w:eastAsia="zh-CN"/>
        </w:rPr>
        <w:t>（二）</w:t>
      </w:r>
      <w:r>
        <w:rPr>
          <w:rFonts w:hint="eastAsia" w:ascii="仿宋_GB2312" w:eastAsia="仿宋_GB2312"/>
          <w:sz w:val="32"/>
          <w:szCs w:val="32"/>
        </w:rPr>
        <w:t>本意见所规定的各项奖励措施与其他优惠政策雷同或重复的，企业或个人可按就高不重复原则申请享受。企业在上述奖励措施申报过程中弄虚作假，或发生较大以上安全生产责任事故，或因拖欠农民工工资等原因被列为严重失信惩戒对象的，以及其他存在严重不良行为造成严重后果的，取消奖励资格。</w:t>
      </w:r>
      <w:r>
        <w:rPr>
          <w:rFonts w:hint="eastAsia" w:eastAsia="仿宋_GB2312"/>
          <w:color w:val="FF0000"/>
          <w:sz w:val="32"/>
          <w:szCs w:val="32"/>
          <w:highlight w:val="yellow"/>
          <w:lang w:eastAsia="zh-CN"/>
        </w:rPr>
        <w:t>企业当年获得的奖补资金不得超过该企业当年对区财政贡献总额。</w:t>
      </w:r>
    </w:p>
    <w:p>
      <w:pPr>
        <w:ind w:firstLine="630"/>
        <w:jc w:val="left"/>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本意见自2020年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日起实施，有效期5年，本意见具体内容由</w:t>
      </w:r>
      <w:r>
        <w:rPr>
          <w:rFonts w:hint="eastAsia" w:ascii="仿宋_GB2312" w:eastAsia="仿宋_GB2312"/>
          <w:b/>
          <w:bCs/>
          <w:sz w:val="32"/>
          <w:szCs w:val="32"/>
          <w:highlight w:val="none"/>
        </w:rPr>
        <w:t>蓬江区</w:t>
      </w:r>
      <w:r>
        <w:rPr>
          <w:rFonts w:hint="eastAsia" w:ascii="仿宋_GB2312" w:eastAsia="仿宋_GB2312"/>
          <w:b/>
          <w:bCs/>
          <w:sz w:val="32"/>
          <w:szCs w:val="32"/>
          <w:highlight w:val="none"/>
          <w:lang w:eastAsia="zh-CN"/>
        </w:rPr>
        <w:t>住房和城乡建设局商有关单位</w:t>
      </w:r>
      <w:r>
        <w:rPr>
          <w:rFonts w:hint="eastAsia" w:ascii="仿宋_GB2312" w:eastAsia="仿宋_GB2312"/>
          <w:sz w:val="32"/>
          <w:szCs w:val="32"/>
        </w:rPr>
        <w:t>解释。</w:t>
      </w:r>
    </w:p>
    <w:p>
      <w:pPr>
        <w:ind w:firstLine="630"/>
        <w:jc w:val="left"/>
        <w:rPr>
          <w:rFonts w:hint="eastAsia" w:ascii="仿宋_GB2312" w:eastAsia="仿宋_GB2312"/>
          <w:sz w:val="32"/>
          <w:szCs w:val="32"/>
        </w:rPr>
      </w:pPr>
    </w:p>
    <w:p>
      <w:pPr>
        <w:ind w:firstLine="630"/>
        <w:jc w:val="left"/>
        <w:rPr>
          <w:rFonts w:hint="eastAsia" w:ascii="仿宋_GB2312" w:eastAsia="仿宋_GB2312"/>
          <w:sz w:val="32"/>
          <w:szCs w:val="32"/>
        </w:rPr>
      </w:pPr>
      <w:r>
        <w:rPr>
          <w:rFonts w:hint="eastAsia" w:ascii="仿宋_GB2312" w:eastAsia="仿宋_GB2312"/>
          <w:sz w:val="32"/>
          <w:szCs w:val="32"/>
        </w:rPr>
        <w:t>附件：1</w:t>
      </w:r>
      <w:bookmarkStart w:id="0" w:name="_Hlk517719657"/>
      <w:r>
        <w:rPr>
          <w:rFonts w:hint="eastAsia" w:ascii="仿宋_GB2312" w:eastAsia="仿宋_GB2312"/>
          <w:sz w:val="32"/>
          <w:szCs w:val="32"/>
        </w:rPr>
        <w:t>.</w:t>
      </w:r>
      <w:r>
        <w:rPr>
          <w:rFonts w:hint="eastAsia" w:ascii="仿宋_GB2312" w:eastAsia="仿宋_GB2312"/>
          <w:sz w:val="32"/>
          <w:szCs w:val="32"/>
          <w:lang w:eastAsia="zh-CN"/>
        </w:rPr>
        <w:t>蓬江</w:t>
      </w:r>
      <w:r>
        <w:rPr>
          <w:rFonts w:hint="eastAsia" w:ascii="仿宋_GB2312" w:eastAsia="仿宋_GB2312"/>
          <w:sz w:val="32"/>
          <w:szCs w:val="32"/>
        </w:rPr>
        <w:t>区</w:t>
      </w:r>
      <w:r>
        <w:rPr>
          <w:rFonts w:hint="eastAsia" w:ascii="仿宋_GB2312" w:eastAsia="仿宋_GB2312"/>
          <w:sz w:val="32"/>
          <w:szCs w:val="32"/>
          <w:lang w:eastAsia="zh-CN"/>
        </w:rPr>
        <w:t>促进</w:t>
      </w:r>
      <w:r>
        <w:rPr>
          <w:rFonts w:hint="eastAsia" w:ascii="仿宋_GB2312" w:eastAsia="仿宋_GB2312"/>
          <w:sz w:val="32"/>
          <w:szCs w:val="32"/>
        </w:rPr>
        <w:t>建筑业持续发展奖励申请表</w:t>
      </w:r>
      <w:bookmarkEnd w:id="0"/>
    </w:p>
    <w:p>
      <w:pPr>
        <w:ind w:firstLine="1600" w:firstLineChars="500"/>
        <w:jc w:val="left"/>
        <w:rPr>
          <w:rFonts w:hint="eastAsia" w:ascii="仿宋_GB2312" w:eastAsia="仿宋_GB2312"/>
          <w:sz w:val="32"/>
          <w:szCs w:val="32"/>
        </w:rPr>
      </w:pPr>
      <w:r>
        <w:rPr>
          <w:rFonts w:hint="eastAsia" w:ascii="仿宋_GB2312" w:eastAsia="仿宋_GB2312"/>
          <w:sz w:val="32"/>
          <w:szCs w:val="32"/>
        </w:rPr>
        <w:t>2</w:t>
      </w:r>
      <w:bookmarkStart w:id="1" w:name="_Hlk517719669"/>
      <w:r>
        <w:rPr>
          <w:rFonts w:hint="eastAsia" w:ascii="仿宋_GB2312" w:eastAsia="仿宋_GB2312"/>
          <w:sz w:val="32"/>
          <w:szCs w:val="32"/>
        </w:rPr>
        <w:t>.</w:t>
      </w:r>
      <w:r>
        <w:rPr>
          <w:rFonts w:hint="eastAsia" w:ascii="仿宋_GB2312" w:eastAsia="仿宋_GB2312"/>
          <w:sz w:val="32"/>
          <w:szCs w:val="32"/>
          <w:lang w:eastAsia="zh-CN"/>
        </w:rPr>
        <w:t>蓬江</w:t>
      </w:r>
      <w:r>
        <w:rPr>
          <w:rFonts w:hint="eastAsia" w:ascii="仿宋_GB2312" w:eastAsia="仿宋_GB2312"/>
          <w:sz w:val="32"/>
          <w:szCs w:val="32"/>
        </w:rPr>
        <w:t>区</w:t>
      </w:r>
      <w:r>
        <w:rPr>
          <w:rFonts w:hint="eastAsia" w:ascii="仿宋_GB2312" w:eastAsia="仿宋_GB2312"/>
          <w:sz w:val="32"/>
          <w:szCs w:val="32"/>
          <w:lang w:eastAsia="zh-CN"/>
        </w:rPr>
        <w:t>促进</w:t>
      </w:r>
      <w:r>
        <w:rPr>
          <w:rFonts w:hint="eastAsia" w:ascii="仿宋_GB2312" w:eastAsia="仿宋_GB2312"/>
          <w:sz w:val="32"/>
          <w:szCs w:val="32"/>
        </w:rPr>
        <w:t>建筑业持续发展奖励申请材料清单</w:t>
      </w:r>
      <w:bookmarkEnd w:id="1"/>
    </w:p>
    <w:p>
      <w:pPr>
        <w:ind w:firstLine="630"/>
        <w:jc w:val="left"/>
        <w:rPr>
          <w:rFonts w:ascii="仿宋_GB2312" w:eastAsia="仿宋_GB2312"/>
          <w:sz w:val="32"/>
          <w:szCs w:val="32"/>
        </w:rPr>
      </w:pPr>
    </w:p>
    <w:p>
      <w:pPr>
        <w:ind w:firstLine="630"/>
        <w:jc w:val="left"/>
        <w:rPr>
          <w:rFonts w:ascii="仿宋_GB2312" w:eastAsia="仿宋_GB2312"/>
          <w:sz w:val="32"/>
          <w:szCs w:val="32"/>
        </w:rPr>
      </w:pPr>
    </w:p>
    <w:p>
      <w:pPr>
        <w:ind w:firstLine="630"/>
        <w:jc w:val="left"/>
        <w:rPr>
          <w:rFonts w:ascii="仿宋_GB2312" w:eastAsia="仿宋_GB2312"/>
          <w:sz w:val="32"/>
          <w:szCs w:val="32"/>
        </w:rPr>
      </w:pPr>
    </w:p>
    <w:p>
      <w:pPr>
        <w:ind w:firstLine="630"/>
        <w:jc w:val="left"/>
        <w:rPr>
          <w:rFonts w:ascii="仿宋_GB2312" w:eastAsia="仿宋_GB2312"/>
          <w:sz w:val="32"/>
          <w:szCs w:val="32"/>
        </w:rPr>
      </w:pPr>
    </w:p>
    <w:p>
      <w:pPr>
        <w:ind w:firstLine="630"/>
        <w:jc w:val="left"/>
        <w:rPr>
          <w:rFonts w:ascii="仿宋_GB2312" w:eastAsia="仿宋_GB2312"/>
          <w:sz w:val="32"/>
          <w:szCs w:val="32"/>
        </w:rPr>
      </w:pPr>
    </w:p>
    <w:p>
      <w:pPr>
        <w:adjustRightInd w:val="0"/>
        <w:snapToGrid w:val="0"/>
        <w:spacing w:line="400" w:lineRule="exact"/>
        <w:rPr>
          <w:rFonts w:eastAsia="黑体"/>
          <w:sz w:val="32"/>
          <w:szCs w:val="32"/>
        </w:rPr>
      </w:pPr>
      <w:r>
        <w:rPr>
          <w:rFonts w:eastAsia="黑体"/>
          <w:sz w:val="32"/>
          <w:szCs w:val="32"/>
        </w:rPr>
        <w:t>附件1</w:t>
      </w:r>
    </w:p>
    <w:tbl>
      <w:tblPr>
        <w:tblStyle w:val="5"/>
        <w:tblW w:w="9226" w:type="dxa"/>
        <w:tblInd w:w="96" w:type="dxa"/>
        <w:tblLayout w:type="autofit"/>
        <w:tblCellMar>
          <w:top w:w="0" w:type="dxa"/>
          <w:left w:w="108" w:type="dxa"/>
          <w:bottom w:w="0" w:type="dxa"/>
          <w:right w:w="108" w:type="dxa"/>
        </w:tblCellMar>
      </w:tblPr>
      <w:tblGrid>
        <w:gridCol w:w="2422"/>
        <w:gridCol w:w="2410"/>
        <w:gridCol w:w="2551"/>
        <w:gridCol w:w="1843"/>
      </w:tblGrid>
      <w:tr>
        <w:tblPrEx>
          <w:tblCellMar>
            <w:top w:w="0" w:type="dxa"/>
            <w:left w:w="108" w:type="dxa"/>
            <w:bottom w:w="0" w:type="dxa"/>
            <w:right w:w="108" w:type="dxa"/>
          </w:tblCellMar>
        </w:tblPrEx>
        <w:trPr>
          <w:trHeight w:val="1200" w:hRule="atLeast"/>
        </w:trPr>
        <w:tc>
          <w:tcPr>
            <w:tcW w:w="9226" w:type="dxa"/>
            <w:gridSpan w:val="4"/>
            <w:tcBorders>
              <w:top w:val="nil"/>
              <w:left w:val="nil"/>
              <w:bottom w:val="nil"/>
              <w:right w:val="nil"/>
            </w:tcBorders>
            <w:noWrap/>
            <w:vAlign w:val="center"/>
          </w:tcPr>
          <w:p>
            <w:pPr>
              <w:widowControl/>
              <w:jc w:val="center"/>
              <w:rPr>
                <w:rFonts w:hint="eastAsia" w:ascii="方正小标宋简体" w:eastAsia="方正小标宋简体"/>
                <w:color w:val="000000"/>
                <w:kern w:val="0"/>
                <w:sz w:val="44"/>
                <w:szCs w:val="44"/>
              </w:rPr>
            </w:pPr>
            <w:r>
              <w:rPr>
                <w:rFonts w:hint="eastAsia" w:ascii="方正小标宋简体" w:hAnsi="黑体" w:eastAsia="方正小标宋简体"/>
                <w:color w:val="000000"/>
                <w:kern w:val="0"/>
                <w:sz w:val="44"/>
                <w:szCs w:val="44"/>
                <w:lang w:eastAsia="zh-CN"/>
              </w:rPr>
              <w:t>蓬江</w:t>
            </w:r>
            <w:r>
              <w:rPr>
                <w:rFonts w:hint="eastAsia" w:ascii="方正小标宋简体" w:hAnsi="黑体" w:eastAsia="方正小标宋简体"/>
                <w:color w:val="000000"/>
                <w:kern w:val="0"/>
                <w:sz w:val="44"/>
                <w:szCs w:val="44"/>
              </w:rPr>
              <w:t>区</w:t>
            </w:r>
            <w:r>
              <w:rPr>
                <w:rFonts w:hint="eastAsia" w:ascii="方正小标宋简体" w:hAnsi="黑体" w:eastAsia="方正小标宋简体"/>
                <w:color w:val="000000"/>
                <w:kern w:val="0"/>
                <w:sz w:val="44"/>
                <w:szCs w:val="44"/>
                <w:lang w:eastAsia="zh-CN"/>
              </w:rPr>
              <w:t>促进</w:t>
            </w:r>
            <w:r>
              <w:rPr>
                <w:rFonts w:hint="eastAsia" w:ascii="方正小标宋简体" w:hAnsi="黑体" w:eastAsia="方正小标宋简体"/>
                <w:color w:val="000000"/>
                <w:kern w:val="0"/>
                <w:sz w:val="44"/>
                <w:szCs w:val="44"/>
              </w:rPr>
              <w:t>建筑业持续</w:t>
            </w:r>
            <w:r>
              <w:rPr>
                <w:rFonts w:hint="eastAsia" w:ascii="方正小标宋简体" w:hAnsi="黑体" w:eastAsia="方正小标宋简体"/>
                <w:color w:val="000000"/>
                <w:kern w:val="0"/>
                <w:sz w:val="44"/>
                <w:szCs w:val="44"/>
                <w:lang w:eastAsia="zh-CN"/>
              </w:rPr>
              <w:t>健康</w:t>
            </w:r>
            <w:r>
              <w:rPr>
                <w:rFonts w:hint="eastAsia" w:ascii="方正小标宋简体" w:hAnsi="黑体" w:eastAsia="方正小标宋简体"/>
                <w:color w:val="000000"/>
                <w:kern w:val="0"/>
                <w:sz w:val="44"/>
                <w:szCs w:val="44"/>
              </w:rPr>
              <w:t>发展奖励申请表</w:t>
            </w:r>
          </w:p>
        </w:tc>
      </w:tr>
      <w:tr>
        <w:tblPrEx>
          <w:tblCellMar>
            <w:top w:w="0" w:type="dxa"/>
            <w:left w:w="108" w:type="dxa"/>
            <w:bottom w:w="0" w:type="dxa"/>
            <w:right w:w="108" w:type="dxa"/>
          </w:tblCellMar>
        </w:tblPrEx>
        <w:trPr>
          <w:trHeight w:val="668" w:hRule="atLeast"/>
        </w:trPr>
        <w:tc>
          <w:tcPr>
            <w:tcW w:w="2422"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企业名称</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　</w:t>
            </w:r>
          </w:p>
        </w:tc>
        <w:tc>
          <w:tcPr>
            <w:tcW w:w="25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资质专业</w:t>
            </w:r>
            <w:r>
              <w:rPr>
                <w:color w:val="000000"/>
                <w:kern w:val="0"/>
                <w:sz w:val="20"/>
              </w:rPr>
              <w:t>/</w:t>
            </w:r>
            <w:r>
              <w:rPr>
                <w:rFonts w:hAnsi="宋体"/>
                <w:color w:val="000000"/>
                <w:kern w:val="0"/>
                <w:sz w:val="20"/>
              </w:rPr>
              <w:t>等级</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　</w:t>
            </w:r>
          </w:p>
        </w:tc>
      </w:tr>
      <w:tr>
        <w:tblPrEx>
          <w:tblCellMar>
            <w:top w:w="0" w:type="dxa"/>
            <w:left w:w="108" w:type="dxa"/>
            <w:bottom w:w="0" w:type="dxa"/>
            <w:right w:w="108" w:type="dxa"/>
          </w:tblCellMar>
        </w:tblPrEx>
        <w:trPr>
          <w:trHeight w:val="552" w:hRule="atLeast"/>
        </w:trPr>
        <w:tc>
          <w:tcPr>
            <w:tcW w:w="242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统一社会信用代码</w:t>
            </w:r>
          </w:p>
        </w:tc>
        <w:tc>
          <w:tcPr>
            <w:tcW w:w="2410" w:type="dxa"/>
            <w:tcBorders>
              <w:top w:val="nil"/>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　</w:t>
            </w:r>
          </w:p>
        </w:tc>
        <w:tc>
          <w:tcPr>
            <w:tcW w:w="2551" w:type="dxa"/>
            <w:tcBorders>
              <w:top w:val="nil"/>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法人代表</w:t>
            </w:r>
          </w:p>
        </w:tc>
        <w:tc>
          <w:tcPr>
            <w:tcW w:w="1843" w:type="dxa"/>
            <w:tcBorders>
              <w:top w:val="nil"/>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　</w:t>
            </w:r>
          </w:p>
        </w:tc>
      </w:tr>
      <w:tr>
        <w:tblPrEx>
          <w:tblCellMar>
            <w:top w:w="0" w:type="dxa"/>
            <w:left w:w="108" w:type="dxa"/>
            <w:bottom w:w="0" w:type="dxa"/>
            <w:right w:w="108" w:type="dxa"/>
          </w:tblCellMar>
        </w:tblPrEx>
        <w:trPr>
          <w:trHeight w:val="606" w:hRule="atLeast"/>
        </w:trPr>
        <w:tc>
          <w:tcPr>
            <w:tcW w:w="242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企业地址</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　</w:t>
            </w:r>
          </w:p>
        </w:tc>
      </w:tr>
      <w:tr>
        <w:tblPrEx>
          <w:tblCellMar>
            <w:top w:w="0" w:type="dxa"/>
            <w:left w:w="108" w:type="dxa"/>
            <w:bottom w:w="0" w:type="dxa"/>
            <w:right w:w="108" w:type="dxa"/>
          </w:tblCellMar>
        </w:tblPrEx>
        <w:trPr>
          <w:trHeight w:val="1076" w:hRule="atLeast"/>
        </w:trPr>
        <w:tc>
          <w:tcPr>
            <w:tcW w:w="242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rFonts w:hAnsi="宋体"/>
                <w:color w:val="000000"/>
                <w:kern w:val="0"/>
                <w:sz w:val="20"/>
              </w:rPr>
              <w:t>申请奖励事项</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u w:val="single"/>
              </w:rPr>
            </w:pPr>
            <w:r>
              <w:rPr>
                <w:color w:val="000000"/>
                <w:kern w:val="0"/>
                <w:sz w:val="20"/>
                <w:u w:val="single"/>
              </w:rPr>
              <w:t xml:space="preserve">         &lt;</w:t>
            </w:r>
            <w:r>
              <w:rPr>
                <w:rFonts w:hAnsi="宋体"/>
                <w:color w:val="000000"/>
                <w:kern w:val="0"/>
                <w:sz w:val="20"/>
                <w:u w:val="single"/>
              </w:rPr>
              <w:t>简述申请依据</w:t>
            </w:r>
            <w:r>
              <w:rPr>
                <w:color w:val="000000"/>
                <w:kern w:val="0"/>
                <w:sz w:val="20"/>
                <w:u w:val="single"/>
              </w:rPr>
              <w:t xml:space="preserve">&gt;                 </w:t>
            </w:r>
            <w:r>
              <w:rPr>
                <w:rFonts w:hAnsi="宋体"/>
                <w:color w:val="000000"/>
                <w:kern w:val="0"/>
                <w:sz w:val="20"/>
              </w:rPr>
              <w:t>，符合《</w:t>
            </w:r>
            <w:r>
              <w:rPr>
                <w:rFonts w:hint="eastAsia" w:hAnsi="宋体"/>
                <w:color w:val="000000"/>
                <w:kern w:val="0"/>
                <w:sz w:val="20"/>
              </w:rPr>
              <w:t>关于促进蓬江区建筑业持续健康发展的若干意见</w:t>
            </w:r>
            <w:r>
              <w:rPr>
                <w:rFonts w:hAnsi="宋体"/>
                <w:color w:val="000000"/>
                <w:kern w:val="0"/>
                <w:sz w:val="20"/>
              </w:rPr>
              <w:t>》第    条奖励条件，特申请该项奖励。</w:t>
            </w:r>
          </w:p>
        </w:tc>
      </w:tr>
      <w:tr>
        <w:tblPrEx>
          <w:tblCellMar>
            <w:top w:w="0" w:type="dxa"/>
            <w:left w:w="108" w:type="dxa"/>
            <w:bottom w:w="0" w:type="dxa"/>
            <w:right w:w="108" w:type="dxa"/>
          </w:tblCellMar>
        </w:tblPrEx>
        <w:trPr>
          <w:trHeight w:val="798" w:hRule="atLeast"/>
        </w:trPr>
        <w:tc>
          <w:tcPr>
            <w:tcW w:w="242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rFonts w:hAnsi="宋体"/>
                <w:color w:val="000000"/>
                <w:kern w:val="0"/>
                <w:sz w:val="20"/>
              </w:rPr>
              <w:t>申请奖励金额</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20"/>
                <w:u w:val="single"/>
              </w:rPr>
            </w:pPr>
            <w:r>
              <w:rPr>
                <w:color w:val="000000"/>
                <w:kern w:val="0"/>
                <w:sz w:val="20"/>
                <w:u w:val="single"/>
              </w:rPr>
              <w:t xml:space="preserve">                    </w:t>
            </w:r>
            <w:r>
              <w:rPr>
                <w:rFonts w:hAnsi="宋体"/>
                <w:color w:val="000000"/>
                <w:kern w:val="0"/>
                <w:sz w:val="20"/>
              </w:rPr>
              <w:t>元</w:t>
            </w:r>
          </w:p>
        </w:tc>
      </w:tr>
      <w:tr>
        <w:tblPrEx>
          <w:tblCellMar>
            <w:top w:w="0" w:type="dxa"/>
            <w:left w:w="108" w:type="dxa"/>
            <w:bottom w:w="0" w:type="dxa"/>
            <w:right w:w="108" w:type="dxa"/>
          </w:tblCellMar>
        </w:tblPrEx>
        <w:trPr>
          <w:trHeight w:val="3004" w:hRule="atLeast"/>
        </w:trPr>
        <w:tc>
          <w:tcPr>
            <w:tcW w:w="242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申请材料清单</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right"/>
              <w:rPr>
                <w:color w:val="000000"/>
                <w:kern w:val="0"/>
                <w:sz w:val="20"/>
              </w:rPr>
            </w:pPr>
            <w:r>
              <w:rPr>
                <w:rFonts w:hAnsi="宋体"/>
                <w:color w:val="000000"/>
                <w:kern w:val="0"/>
                <w:sz w:val="20"/>
              </w:rPr>
              <w:t>　</w:t>
            </w:r>
          </w:p>
        </w:tc>
      </w:tr>
      <w:tr>
        <w:tblPrEx>
          <w:tblCellMar>
            <w:top w:w="0" w:type="dxa"/>
            <w:left w:w="108" w:type="dxa"/>
            <w:bottom w:w="0" w:type="dxa"/>
            <w:right w:w="108" w:type="dxa"/>
          </w:tblCellMar>
        </w:tblPrEx>
        <w:trPr>
          <w:trHeight w:val="3919" w:hRule="atLeast"/>
        </w:trPr>
        <w:tc>
          <w:tcPr>
            <w:tcW w:w="242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0"/>
              </w:rPr>
            </w:pPr>
            <w:r>
              <w:rPr>
                <w:rFonts w:hAnsi="宋体"/>
                <w:color w:val="000000"/>
                <w:kern w:val="0"/>
                <w:sz w:val="20"/>
              </w:rPr>
              <w:t>申请声明</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ind w:firstLine="400" w:firstLineChars="200"/>
              <w:jc w:val="left"/>
              <w:rPr>
                <w:color w:val="000000"/>
                <w:kern w:val="0"/>
                <w:sz w:val="20"/>
              </w:rPr>
            </w:pPr>
            <w:r>
              <w:rPr>
                <w:rFonts w:hAnsi="宋体"/>
                <w:color w:val="000000"/>
                <w:kern w:val="0"/>
                <w:sz w:val="20"/>
              </w:rPr>
              <w:t>本单位填报的内容及提交的所有材料的原件或复印件及其内容是真实合法的。如有任何虚假或违法，受理机构可终止办理；如因材料虚假或违法引致法律责任，概由本单位承担，与受理机构无关。</w:t>
            </w:r>
            <w:r>
              <w:rPr>
                <w:color w:val="000000"/>
                <w:kern w:val="0"/>
                <w:sz w:val="20"/>
              </w:rPr>
              <w:br w:type="textWrapping"/>
            </w:r>
            <w:r>
              <w:rPr>
                <w:color w:val="000000"/>
                <w:kern w:val="0"/>
                <w:sz w:val="20"/>
              </w:rPr>
              <w:br w:type="textWrapping"/>
            </w:r>
            <w:r>
              <w:rPr>
                <w:color w:val="000000"/>
                <w:kern w:val="0"/>
                <w:sz w:val="20"/>
              </w:rPr>
              <w:br w:type="textWrapping"/>
            </w:r>
            <w:r>
              <w:rPr>
                <w:rFonts w:hAnsi="宋体"/>
                <w:color w:val="000000"/>
                <w:kern w:val="0"/>
                <w:sz w:val="20"/>
              </w:rPr>
              <w:t>申请单位（公章）：</w:t>
            </w:r>
            <w:r>
              <w:rPr>
                <w:color w:val="000000"/>
                <w:kern w:val="0"/>
                <w:sz w:val="20"/>
              </w:rPr>
              <w:br w:type="textWrapping"/>
            </w:r>
            <w:r>
              <w:rPr>
                <w:color w:val="000000"/>
                <w:kern w:val="0"/>
                <w:sz w:val="20"/>
              </w:rPr>
              <w:br w:type="textWrapping"/>
            </w:r>
            <w:r>
              <w:rPr>
                <w:color w:val="000000"/>
                <w:kern w:val="0"/>
                <w:sz w:val="20"/>
              </w:rPr>
              <w:br w:type="textWrapping"/>
            </w:r>
            <w:r>
              <w:rPr>
                <w:rFonts w:hAnsi="宋体"/>
                <w:color w:val="000000"/>
                <w:kern w:val="0"/>
                <w:sz w:val="20"/>
              </w:rPr>
              <w:t>法定代表人（签名）：</w:t>
            </w:r>
            <w:r>
              <w:rPr>
                <w:color w:val="000000"/>
                <w:kern w:val="0"/>
                <w:sz w:val="20"/>
              </w:rPr>
              <w:br w:type="textWrapping"/>
            </w:r>
            <w:r>
              <w:rPr>
                <w:color w:val="000000"/>
                <w:kern w:val="0"/>
                <w:sz w:val="20"/>
              </w:rPr>
              <w:br w:type="textWrapping"/>
            </w:r>
            <w:r>
              <w:rPr>
                <w:color w:val="000000"/>
                <w:kern w:val="0"/>
                <w:sz w:val="20"/>
              </w:rPr>
              <w:br w:type="textWrapping"/>
            </w:r>
            <w:r>
              <w:rPr>
                <w:rFonts w:hAnsi="宋体"/>
                <w:color w:val="000000"/>
                <w:kern w:val="0"/>
                <w:sz w:val="20"/>
              </w:rPr>
              <w:t>日期：</w:t>
            </w:r>
            <w:r>
              <w:rPr>
                <w:color w:val="000000"/>
                <w:kern w:val="0"/>
                <w:sz w:val="20"/>
                <w:u w:val="single"/>
              </w:rPr>
              <w:t xml:space="preserve">        </w:t>
            </w:r>
            <w:r>
              <w:rPr>
                <w:rFonts w:hAnsi="宋体"/>
                <w:color w:val="000000"/>
                <w:kern w:val="0"/>
                <w:sz w:val="20"/>
              </w:rPr>
              <w:t>年</w:t>
            </w:r>
            <w:r>
              <w:rPr>
                <w:color w:val="000000"/>
                <w:kern w:val="0"/>
                <w:sz w:val="20"/>
                <w:u w:val="single"/>
              </w:rPr>
              <w:t xml:space="preserve">        </w:t>
            </w:r>
            <w:r>
              <w:rPr>
                <w:rFonts w:hAnsi="宋体"/>
                <w:color w:val="000000"/>
                <w:kern w:val="0"/>
                <w:sz w:val="20"/>
              </w:rPr>
              <w:t>月</w:t>
            </w:r>
            <w:r>
              <w:rPr>
                <w:color w:val="000000"/>
                <w:kern w:val="0"/>
                <w:sz w:val="20"/>
                <w:u w:val="single"/>
              </w:rPr>
              <w:t xml:space="preserve">        </w:t>
            </w:r>
            <w:r>
              <w:rPr>
                <w:rFonts w:hAnsi="宋体"/>
                <w:color w:val="000000"/>
                <w:kern w:val="0"/>
                <w:sz w:val="20"/>
              </w:rPr>
              <w:t>日</w:t>
            </w:r>
          </w:p>
        </w:tc>
      </w:tr>
      <w:tr>
        <w:tblPrEx>
          <w:tblCellMar>
            <w:top w:w="0" w:type="dxa"/>
            <w:left w:w="108" w:type="dxa"/>
            <w:bottom w:w="0" w:type="dxa"/>
            <w:right w:w="108" w:type="dxa"/>
          </w:tblCellMar>
        </w:tblPrEx>
        <w:trPr>
          <w:trHeight w:val="402" w:hRule="atLeast"/>
        </w:trPr>
        <w:tc>
          <w:tcPr>
            <w:tcW w:w="9226" w:type="dxa"/>
            <w:gridSpan w:val="4"/>
            <w:tcBorders>
              <w:top w:val="nil"/>
              <w:left w:val="nil"/>
              <w:bottom w:val="nil"/>
              <w:right w:val="nil"/>
            </w:tcBorders>
            <w:noWrap/>
            <w:vAlign w:val="center"/>
          </w:tcPr>
          <w:p>
            <w:pPr>
              <w:widowControl/>
              <w:jc w:val="left"/>
              <w:rPr>
                <w:color w:val="000000"/>
                <w:kern w:val="0"/>
                <w:sz w:val="20"/>
              </w:rPr>
            </w:pPr>
            <w:r>
              <w:rPr>
                <w:rFonts w:hAnsi="宋体"/>
                <w:color w:val="000000"/>
                <w:kern w:val="0"/>
                <w:sz w:val="20"/>
              </w:rPr>
              <w:t>注：本表一式</w:t>
            </w:r>
            <w:r>
              <w:rPr>
                <w:rFonts w:hint="eastAsia" w:hAnsi="宋体"/>
                <w:color w:val="000000"/>
                <w:kern w:val="0"/>
                <w:sz w:val="20"/>
                <w:lang w:eastAsia="zh-CN"/>
              </w:rPr>
              <w:t>三</w:t>
            </w:r>
            <w:r>
              <w:rPr>
                <w:rFonts w:hAnsi="宋体"/>
                <w:color w:val="000000"/>
                <w:kern w:val="0"/>
                <w:sz w:val="20"/>
              </w:rPr>
              <w:t>份，</w:t>
            </w:r>
            <w:r>
              <w:rPr>
                <w:rFonts w:hint="eastAsia" w:hAnsi="宋体"/>
                <w:color w:val="000000"/>
                <w:kern w:val="0"/>
                <w:sz w:val="20"/>
                <w:lang w:eastAsia="zh-CN"/>
              </w:rPr>
              <w:t>申请单位</w:t>
            </w:r>
            <w:r>
              <w:rPr>
                <w:rFonts w:hint="eastAsia" w:hAnsi="宋体"/>
                <w:color w:val="000000"/>
                <w:kern w:val="0"/>
                <w:sz w:val="20"/>
                <w:lang w:val="en-US" w:eastAsia="zh-CN"/>
              </w:rPr>
              <w:t>/个人、区住建局</w:t>
            </w:r>
            <w:r>
              <w:rPr>
                <w:rFonts w:hint="eastAsia" w:hAnsi="宋体"/>
                <w:color w:val="000000"/>
                <w:kern w:val="0"/>
                <w:sz w:val="20"/>
                <w:lang w:eastAsia="zh-CN"/>
              </w:rPr>
              <w:t>和区财政局</w:t>
            </w:r>
            <w:r>
              <w:rPr>
                <w:rFonts w:hint="eastAsia" w:hAnsi="宋体"/>
                <w:color w:val="000000"/>
                <w:kern w:val="0"/>
                <w:sz w:val="20"/>
                <w:lang w:val="en-US" w:eastAsia="zh-CN"/>
              </w:rPr>
              <w:t>/区人社局</w:t>
            </w:r>
            <w:r>
              <w:rPr>
                <w:rFonts w:hint="eastAsia" w:hAnsi="宋体"/>
                <w:color w:val="000000"/>
                <w:kern w:val="0"/>
                <w:sz w:val="20"/>
                <w:lang w:eastAsia="zh-CN"/>
              </w:rPr>
              <w:t>各一份</w:t>
            </w:r>
            <w:r>
              <w:rPr>
                <w:rFonts w:hAnsi="宋体"/>
                <w:color w:val="000000"/>
                <w:kern w:val="0"/>
                <w:sz w:val="20"/>
              </w:rPr>
              <w:t>。</w:t>
            </w:r>
          </w:p>
        </w:tc>
      </w:tr>
    </w:tbl>
    <w:p>
      <w:pPr>
        <w:adjustRightInd w:val="0"/>
        <w:snapToGrid w:val="0"/>
        <w:spacing w:line="400" w:lineRule="exact"/>
        <w:rPr>
          <w:rFonts w:hint="eastAsia" w:ascii="黑体" w:eastAsia="黑体"/>
          <w:sz w:val="32"/>
          <w:szCs w:val="32"/>
        </w:rPr>
      </w:pPr>
      <w:r>
        <w:rPr>
          <w:rFonts w:hint="eastAsia" w:ascii="黑体" w:eastAsia="黑体"/>
          <w:sz w:val="32"/>
          <w:szCs w:val="32"/>
        </w:rPr>
        <w:t>附件2</w:t>
      </w:r>
    </w:p>
    <w:tbl>
      <w:tblPr>
        <w:tblStyle w:val="5"/>
        <w:tblW w:w="9040" w:type="dxa"/>
        <w:tblInd w:w="96" w:type="dxa"/>
        <w:tblLayout w:type="autofit"/>
        <w:tblCellMar>
          <w:top w:w="0" w:type="dxa"/>
          <w:left w:w="108" w:type="dxa"/>
          <w:bottom w:w="0" w:type="dxa"/>
          <w:right w:w="108" w:type="dxa"/>
        </w:tblCellMar>
      </w:tblPr>
      <w:tblGrid>
        <w:gridCol w:w="620"/>
        <w:gridCol w:w="3020"/>
        <w:gridCol w:w="5400"/>
      </w:tblGrid>
      <w:tr>
        <w:tblPrEx>
          <w:tblCellMar>
            <w:top w:w="0" w:type="dxa"/>
            <w:left w:w="108" w:type="dxa"/>
            <w:bottom w:w="0" w:type="dxa"/>
            <w:right w:w="108" w:type="dxa"/>
          </w:tblCellMar>
        </w:tblPrEx>
        <w:trPr>
          <w:trHeight w:val="1200" w:hRule="atLeast"/>
        </w:trPr>
        <w:tc>
          <w:tcPr>
            <w:tcW w:w="9040" w:type="dxa"/>
            <w:gridSpan w:val="3"/>
            <w:tcBorders>
              <w:top w:val="nil"/>
              <w:left w:val="nil"/>
              <w:bottom w:val="single" w:color="auto" w:sz="4" w:space="0"/>
              <w:right w:val="nil"/>
            </w:tcBorders>
            <w:noWrap/>
            <w:vAlign w:val="center"/>
          </w:tcPr>
          <w:p>
            <w:pPr>
              <w:widowControl/>
              <w:jc w:val="center"/>
              <w:rPr>
                <w:rFonts w:eastAsia="方正小标宋简体"/>
                <w:color w:val="000000"/>
                <w:kern w:val="0"/>
                <w:sz w:val="36"/>
                <w:szCs w:val="36"/>
              </w:rPr>
            </w:pPr>
            <w:bookmarkStart w:id="2" w:name="RANGE!A1:C36"/>
            <w:r>
              <w:rPr>
                <w:rFonts w:hint="eastAsia" w:eastAsia="方正小标宋简体"/>
                <w:color w:val="000000"/>
                <w:kern w:val="0"/>
                <w:sz w:val="36"/>
                <w:szCs w:val="36"/>
                <w:lang w:eastAsia="zh-CN"/>
              </w:rPr>
              <w:t>蓬江</w:t>
            </w:r>
            <w:r>
              <w:rPr>
                <w:rFonts w:eastAsia="方正小标宋简体"/>
                <w:color w:val="000000"/>
                <w:kern w:val="0"/>
                <w:sz w:val="36"/>
                <w:szCs w:val="36"/>
              </w:rPr>
              <w:t>区</w:t>
            </w:r>
            <w:r>
              <w:rPr>
                <w:rFonts w:hint="eastAsia" w:eastAsia="方正小标宋简体"/>
                <w:color w:val="000000"/>
                <w:kern w:val="0"/>
                <w:sz w:val="36"/>
                <w:szCs w:val="36"/>
                <w:lang w:eastAsia="zh-CN"/>
              </w:rPr>
              <w:t>促进</w:t>
            </w:r>
            <w:r>
              <w:rPr>
                <w:rFonts w:eastAsia="方正小标宋简体"/>
                <w:color w:val="000000"/>
                <w:kern w:val="0"/>
                <w:sz w:val="36"/>
                <w:szCs w:val="36"/>
              </w:rPr>
              <w:t>建筑业持续</w:t>
            </w:r>
            <w:r>
              <w:rPr>
                <w:rFonts w:hint="eastAsia" w:eastAsia="方正小标宋简体"/>
                <w:color w:val="000000"/>
                <w:kern w:val="0"/>
                <w:sz w:val="36"/>
                <w:szCs w:val="36"/>
                <w:lang w:eastAsia="zh-CN"/>
              </w:rPr>
              <w:t>健康</w:t>
            </w:r>
            <w:r>
              <w:rPr>
                <w:rFonts w:eastAsia="方正小标宋简体"/>
                <w:color w:val="000000"/>
                <w:kern w:val="0"/>
                <w:sz w:val="36"/>
                <w:szCs w:val="36"/>
              </w:rPr>
              <w:t>发展奖励申请材料清单</w:t>
            </w:r>
            <w:bookmarkEnd w:id="2"/>
          </w:p>
        </w:tc>
      </w:tr>
      <w:tr>
        <w:tblPrEx>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eastAsia="黑体"/>
                <w:bCs/>
                <w:color w:val="000000"/>
                <w:kern w:val="0"/>
                <w:sz w:val="22"/>
                <w:szCs w:val="22"/>
              </w:rPr>
            </w:pPr>
            <w:r>
              <w:rPr>
                <w:rFonts w:hint="eastAsia" w:ascii="黑体" w:eastAsia="黑体"/>
                <w:bCs/>
                <w:color w:val="000000"/>
                <w:kern w:val="0"/>
                <w:sz w:val="22"/>
                <w:szCs w:val="22"/>
              </w:rPr>
              <w:t>序号</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黑体" w:eastAsia="黑体"/>
                <w:bCs/>
                <w:color w:val="000000"/>
                <w:kern w:val="0"/>
                <w:sz w:val="22"/>
                <w:szCs w:val="22"/>
              </w:rPr>
            </w:pPr>
            <w:r>
              <w:rPr>
                <w:rFonts w:hint="eastAsia" w:ascii="黑体" w:eastAsia="黑体"/>
                <w:bCs/>
                <w:color w:val="000000"/>
                <w:kern w:val="0"/>
                <w:sz w:val="22"/>
                <w:szCs w:val="22"/>
              </w:rPr>
              <w:t>奖励类型</w:t>
            </w:r>
          </w:p>
        </w:tc>
        <w:tc>
          <w:tcPr>
            <w:tcW w:w="5400" w:type="dxa"/>
            <w:tcBorders>
              <w:top w:val="nil"/>
              <w:left w:val="nil"/>
              <w:bottom w:val="single" w:color="auto" w:sz="4" w:space="0"/>
              <w:right w:val="single" w:color="auto" w:sz="4" w:space="0"/>
            </w:tcBorders>
            <w:noWrap w:val="0"/>
            <w:vAlign w:val="center"/>
          </w:tcPr>
          <w:p>
            <w:pPr>
              <w:widowControl/>
              <w:jc w:val="center"/>
              <w:rPr>
                <w:rFonts w:hint="eastAsia" w:ascii="黑体" w:eastAsia="黑体"/>
                <w:bCs/>
                <w:color w:val="000000"/>
                <w:kern w:val="0"/>
                <w:sz w:val="22"/>
                <w:szCs w:val="22"/>
              </w:rPr>
            </w:pPr>
            <w:r>
              <w:rPr>
                <w:rFonts w:hint="eastAsia" w:ascii="黑体" w:eastAsia="黑体"/>
                <w:bCs/>
                <w:color w:val="000000"/>
                <w:kern w:val="0"/>
                <w:sz w:val="22"/>
                <w:szCs w:val="22"/>
              </w:rPr>
              <w:t>申请材料</w:t>
            </w:r>
          </w:p>
        </w:tc>
      </w:tr>
      <w:tr>
        <w:tblPrEx>
          <w:tblCellMar>
            <w:top w:w="0" w:type="dxa"/>
            <w:left w:w="108" w:type="dxa"/>
            <w:bottom w:w="0" w:type="dxa"/>
            <w:right w:w="108" w:type="dxa"/>
          </w:tblCellMar>
        </w:tblPrEx>
        <w:trPr>
          <w:trHeight w:val="567" w:hRule="atLeast"/>
        </w:trPr>
        <w:tc>
          <w:tcPr>
            <w:tcW w:w="620" w:type="dxa"/>
            <w:vMerge w:val="restart"/>
            <w:tcBorders>
              <w:top w:val="nil"/>
              <w:left w:val="single" w:color="auto" w:sz="4" w:space="0"/>
              <w:right w:val="single" w:color="auto" w:sz="4" w:space="0"/>
            </w:tcBorders>
            <w:noWrap w:val="0"/>
            <w:vAlign w:val="center"/>
          </w:tcPr>
          <w:p>
            <w:pPr>
              <w:widowControl/>
              <w:jc w:val="center"/>
              <w:rPr>
                <w:color w:val="000000"/>
                <w:kern w:val="0"/>
                <w:sz w:val="20"/>
              </w:rPr>
            </w:pPr>
            <w:r>
              <w:rPr>
                <w:color w:val="000000"/>
                <w:kern w:val="0"/>
                <w:sz w:val="20"/>
              </w:rPr>
              <w:t>1</w:t>
            </w:r>
          </w:p>
        </w:tc>
        <w:tc>
          <w:tcPr>
            <w:tcW w:w="3020" w:type="dxa"/>
            <w:vMerge w:val="restart"/>
            <w:tcBorders>
              <w:top w:val="nil"/>
              <w:left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Ansi="宋体"/>
                <w:color w:val="000000"/>
                <w:kern w:val="0"/>
                <w:sz w:val="20"/>
              </w:rPr>
              <w:t>区外大型建筑业企业</w:t>
            </w:r>
            <w:r>
              <w:rPr>
                <w:rFonts w:hint="eastAsia" w:hAnsi="宋体"/>
                <w:color w:val="000000"/>
                <w:kern w:val="0"/>
                <w:sz w:val="20"/>
                <w:lang w:eastAsia="zh-CN"/>
              </w:rPr>
              <w:t>变更注册地迁入</w:t>
            </w:r>
            <w:r>
              <w:rPr>
                <w:rFonts w:hAnsi="宋体"/>
                <w:color w:val="000000"/>
                <w:kern w:val="0"/>
                <w:sz w:val="20"/>
              </w:rPr>
              <w:t>我区</w:t>
            </w:r>
            <w:r>
              <w:rPr>
                <w:color w:val="000000"/>
                <w:kern w:val="0"/>
                <w:sz w:val="20"/>
              </w:rPr>
              <w:t>/</w:t>
            </w:r>
            <w:r>
              <w:rPr>
                <w:rFonts w:hAnsi="宋体"/>
                <w:color w:val="000000"/>
                <w:kern w:val="0"/>
                <w:sz w:val="20"/>
              </w:rPr>
              <w:t>外地建筑企业在我区设立有资质的独立法人</w:t>
            </w:r>
            <w:r>
              <w:rPr>
                <w:rFonts w:hint="eastAsia" w:hAnsi="宋体"/>
                <w:color w:val="000000"/>
                <w:kern w:val="0"/>
                <w:sz w:val="20"/>
                <w:lang w:eastAsia="zh-CN"/>
              </w:rPr>
              <w:t>公司或通过兼并、重组等方式落户我区</w:t>
            </w:r>
            <w:r>
              <w:rPr>
                <w:color w:val="000000"/>
                <w:kern w:val="0"/>
                <w:sz w:val="20"/>
              </w:rPr>
              <w:t>/</w:t>
            </w:r>
            <w:r>
              <w:rPr>
                <w:rFonts w:hAnsi="宋体"/>
                <w:color w:val="000000"/>
                <w:kern w:val="0"/>
                <w:sz w:val="20"/>
              </w:rPr>
              <w:t>我区</w:t>
            </w:r>
            <w:r>
              <w:rPr>
                <w:rFonts w:hint="eastAsia" w:hAnsi="宋体"/>
                <w:color w:val="000000"/>
                <w:kern w:val="0"/>
                <w:sz w:val="20"/>
                <w:lang w:eastAsia="zh-CN"/>
              </w:rPr>
              <w:t>企业通过收购等方式引进外地企业变更注册落户我区，</w:t>
            </w:r>
            <w:r>
              <w:rPr>
                <w:rFonts w:hint="eastAsia"/>
                <w:color w:val="000000"/>
                <w:kern w:val="0"/>
                <w:sz w:val="20"/>
                <w:lang w:eastAsia="zh-CN"/>
              </w:rPr>
              <w:t>并依法纳税，承诺五年内不再外迁的</w:t>
            </w:r>
          </w:p>
        </w:tc>
        <w:tc>
          <w:tcPr>
            <w:tcW w:w="5400" w:type="dxa"/>
            <w:tcBorders>
              <w:top w:val="nil"/>
              <w:left w:val="nil"/>
              <w:bottom w:val="single" w:color="auto" w:sz="4" w:space="0"/>
              <w:right w:val="single" w:color="auto" w:sz="4" w:space="0"/>
            </w:tcBorders>
            <w:noWrap w:val="0"/>
            <w:vAlign w:val="center"/>
          </w:tcPr>
          <w:p>
            <w:pPr>
              <w:widowControl/>
              <w:jc w:val="both"/>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营业执照</w:t>
            </w:r>
            <w:r>
              <w:rPr>
                <w:rFonts w:hint="eastAsia" w:hAnsi="宋体"/>
                <w:color w:val="000000"/>
                <w:kern w:val="0"/>
                <w:sz w:val="20"/>
                <w:lang w:eastAsia="zh-CN"/>
              </w:rPr>
              <w:t>、</w:t>
            </w:r>
            <w:r>
              <w:rPr>
                <w:rFonts w:hAnsi="宋体"/>
                <w:color w:val="000000"/>
                <w:kern w:val="0"/>
                <w:sz w:val="20"/>
              </w:rPr>
              <w:t>资质证书</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在</w:t>
            </w:r>
            <w:r>
              <w:rPr>
                <w:rFonts w:hint="eastAsia" w:hAnsi="宋体"/>
                <w:color w:val="000000"/>
                <w:kern w:val="0"/>
                <w:sz w:val="20"/>
                <w:lang w:eastAsia="zh-CN"/>
              </w:rPr>
              <w:t>蓬江</w:t>
            </w:r>
            <w:r>
              <w:rPr>
                <w:rFonts w:hAnsi="宋体"/>
                <w:color w:val="000000"/>
                <w:kern w:val="0"/>
                <w:sz w:val="20"/>
              </w:rPr>
              <w:t>区完税凭证</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olor w:val="000000"/>
                <w:kern w:val="0"/>
                <w:sz w:val="20"/>
                <w:lang w:val="en-US" w:eastAsia="zh-CN"/>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hAnsi="宋体"/>
                <w:color w:val="000000"/>
                <w:kern w:val="0"/>
                <w:sz w:val="20"/>
                <w:lang w:eastAsia="zh-CN"/>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hAnsi="宋体"/>
                <w:color w:val="000000"/>
                <w:kern w:val="0"/>
                <w:sz w:val="20"/>
                <w:lang w:eastAsia="zh-CN"/>
              </w:rPr>
            </w:pPr>
            <w:r>
              <w:rPr>
                <w:rFonts w:hint="eastAsia" w:hAnsi="宋体"/>
                <w:color w:val="000000"/>
                <w:kern w:val="0"/>
                <w:sz w:val="20"/>
                <w:lang w:eastAsia="zh-CN"/>
              </w:rPr>
              <w:t>承诺书</w:t>
            </w:r>
          </w:p>
        </w:tc>
      </w:tr>
      <w:tr>
        <w:tblPrEx>
          <w:tblCellMar>
            <w:top w:w="0" w:type="dxa"/>
            <w:left w:w="108" w:type="dxa"/>
            <w:bottom w:w="0" w:type="dxa"/>
            <w:right w:w="108" w:type="dxa"/>
          </w:tblCellMar>
        </w:tblPrEx>
        <w:trPr>
          <w:trHeight w:val="454" w:hRule="atLeast"/>
        </w:trPr>
        <w:tc>
          <w:tcPr>
            <w:tcW w:w="620" w:type="dxa"/>
            <w:vMerge w:val="restart"/>
            <w:tcBorders>
              <w:top w:val="single" w:color="auto" w:sz="4" w:space="0"/>
              <w:left w:val="single" w:color="auto" w:sz="4" w:space="0"/>
              <w:right w:val="single" w:color="auto" w:sz="4" w:space="0"/>
            </w:tcBorders>
            <w:noWrap w:val="0"/>
            <w:vAlign w:val="center"/>
          </w:tcPr>
          <w:p>
            <w:pPr>
              <w:widowControl/>
              <w:jc w:val="center"/>
              <w:rPr>
                <w:rFonts w:hint="default"/>
                <w:color w:val="000000"/>
                <w:kern w:val="0"/>
                <w:sz w:val="20"/>
                <w:lang w:val="en-US" w:eastAsia="zh-CN"/>
              </w:rPr>
            </w:pPr>
            <w:r>
              <w:rPr>
                <w:rFonts w:hint="eastAsia"/>
                <w:color w:val="000000"/>
                <w:kern w:val="0"/>
                <w:sz w:val="20"/>
                <w:lang w:val="en-US" w:eastAsia="zh-CN"/>
              </w:rPr>
              <w:t>2</w:t>
            </w:r>
          </w:p>
        </w:tc>
        <w:tc>
          <w:tcPr>
            <w:tcW w:w="3020" w:type="dxa"/>
            <w:vMerge w:val="restart"/>
            <w:tcBorders>
              <w:top w:val="single" w:color="auto" w:sz="4" w:space="0"/>
              <w:left w:val="single" w:color="auto" w:sz="4" w:space="0"/>
              <w:right w:val="single" w:color="auto" w:sz="4" w:space="0"/>
            </w:tcBorders>
            <w:noWrap w:val="0"/>
            <w:vAlign w:val="center"/>
          </w:tcPr>
          <w:p>
            <w:pPr>
              <w:widowControl/>
              <w:jc w:val="left"/>
              <w:rPr>
                <w:rFonts w:hint="eastAsia" w:hAnsi="宋体" w:eastAsia="宋体"/>
                <w:color w:val="000000"/>
                <w:kern w:val="0"/>
                <w:sz w:val="20"/>
                <w:lang w:val="en-US" w:eastAsia="zh-CN"/>
              </w:rPr>
            </w:pPr>
            <w:r>
              <w:rPr>
                <w:rFonts w:hint="eastAsia" w:hAnsi="宋体"/>
                <w:color w:val="000000"/>
                <w:kern w:val="0"/>
                <w:sz w:val="20"/>
                <w:lang w:eastAsia="zh-CN"/>
              </w:rPr>
              <w:t>在我区注册成立建筑业企业</w:t>
            </w:r>
            <w:r>
              <w:rPr>
                <w:rFonts w:hint="eastAsia" w:hAnsi="宋体"/>
                <w:color w:val="000000"/>
                <w:kern w:val="0"/>
                <w:sz w:val="20"/>
                <w:lang w:val="en-US" w:eastAsia="zh-CN"/>
              </w:rPr>
              <w:t>/鼓励区外资本特别是房地产开发企业在我区设立建筑业企业。上述企业注册地在我区并依法取得施工总承包资质、依法纳税并承诺五年内不迁出的</w:t>
            </w: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rFonts w:ascii="Calibri" w:hAnsi="Calibri" w:eastAsia="宋体" w:cs="Times New Roman"/>
                <w:color w:val="000000"/>
                <w:kern w:val="0"/>
                <w:sz w:val="20"/>
                <w:szCs w:val="22"/>
                <w:lang w:val="en-US" w:eastAsia="zh-CN" w:bidi="ar-SA"/>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454" w:hRule="atLeast"/>
        </w:trPr>
        <w:tc>
          <w:tcPr>
            <w:tcW w:w="620" w:type="dxa"/>
            <w:vMerge w:val="continue"/>
            <w:tcBorders>
              <w:left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宋体" w:cs="Times New Roman"/>
                <w:color w:val="000000"/>
                <w:kern w:val="0"/>
                <w:sz w:val="20"/>
                <w:szCs w:val="22"/>
                <w:lang w:val="en-US" w:eastAsia="zh-CN" w:bidi="ar-SA"/>
              </w:rPr>
            </w:pPr>
            <w:r>
              <w:rPr>
                <w:rFonts w:hAnsi="宋体"/>
                <w:color w:val="000000"/>
                <w:kern w:val="0"/>
                <w:sz w:val="20"/>
              </w:rPr>
              <w:t>营业执照</w:t>
            </w:r>
            <w:r>
              <w:rPr>
                <w:rFonts w:hint="eastAsia" w:hAnsi="宋体"/>
                <w:color w:val="000000"/>
                <w:kern w:val="0"/>
                <w:sz w:val="20"/>
                <w:lang w:eastAsia="zh-CN"/>
              </w:rPr>
              <w:t>、</w:t>
            </w:r>
            <w:r>
              <w:rPr>
                <w:rFonts w:hAnsi="宋体"/>
                <w:color w:val="000000"/>
                <w:kern w:val="0"/>
                <w:sz w:val="20"/>
              </w:rPr>
              <w:t>资质证书</w:t>
            </w:r>
          </w:p>
        </w:tc>
      </w:tr>
      <w:tr>
        <w:tblPrEx>
          <w:tblCellMar>
            <w:top w:w="0" w:type="dxa"/>
            <w:left w:w="108" w:type="dxa"/>
            <w:bottom w:w="0" w:type="dxa"/>
            <w:right w:w="108" w:type="dxa"/>
          </w:tblCellMar>
        </w:tblPrEx>
        <w:trPr>
          <w:trHeight w:val="454" w:hRule="atLeast"/>
        </w:trPr>
        <w:tc>
          <w:tcPr>
            <w:tcW w:w="620" w:type="dxa"/>
            <w:vMerge w:val="continue"/>
            <w:tcBorders>
              <w:left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color w:val="000000"/>
                <w:kern w:val="0"/>
                <w:sz w:val="20"/>
                <w:szCs w:val="22"/>
                <w:lang w:val="en-US" w:eastAsia="zh-CN" w:bidi="ar-SA"/>
              </w:rPr>
            </w:pPr>
            <w:r>
              <w:rPr>
                <w:rFonts w:hAnsi="宋体"/>
                <w:color w:val="000000"/>
                <w:kern w:val="0"/>
                <w:sz w:val="20"/>
              </w:rPr>
              <w:t>在</w:t>
            </w:r>
            <w:r>
              <w:rPr>
                <w:rFonts w:hint="eastAsia" w:hAnsi="宋体"/>
                <w:color w:val="000000"/>
                <w:kern w:val="0"/>
                <w:sz w:val="20"/>
                <w:lang w:eastAsia="zh-CN"/>
              </w:rPr>
              <w:t>蓬江</w:t>
            </w:r>
            <w:r>
              <w:rPr>
                <w:rFonts w:hAnsi="宋体"/>
                <w:color w:val="000000"/>
                <w:kern w:val="0"/>
                <w:sz w:val="20"/>
              </w:rPr>
              <w:t>区完税凭证</w:t>
            </w:r>
          </w:p>
        </w:tc>
      </w:tr>
      <w:tr>
        <w:tblPrEx>
          <w:tblCellMar>
            <w:top w:w="0" w:type="dxa"/>
            <w:left w:w="108" w:type="dxa"/>
            <w:bottom w:w="0" w:type="dxa"/>
            <w:right w:w="108" w:type="dxa"/>
          </w:tblCellMar>
        </w:tblPrEx>
        <w:trPr>
          <w:trHeight w:val="454"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hAnsi="宋体" w:eastAsia="宋体"/>
                <w:color w:val="000000"/>
                <w:kern w:val="0"/>
                <w:sz w:val="20"/>
                <w:lang w:eastAsia="zh-CN"/>
              </w:rPr>
            </w:pPr>
            <w:r>
              <w:rPr>
                <w:rFonts w:hint="eastAsia" w:hAnsi="宋体"/>
                <w:color w:val="000000"/>
                <w:kern w:val="0"/>
                <w:sz w:val="20"/>
                <w:lang w:eastAsia="zh-CN"/>
              </w:rPr>
              <w:t>承诺书</w:t>
            </w:r>
          </w:p>
        </w:tc>
      </w:tr>
      <w:tr>
        <w:tblPrEx>
          <w:tblCellMar>
            <w:top w:w="0" w:type="dxa"/>
            <w:left w:w="108" w:type="dxa"/>
            <w:bottom w:w="0" w:type="dxa"/>
            <w:right w:w="108" w:type="dxa"/>
          </w:tblCellMar>
        </w:tblPrEx>
        <w:trPr>
          <w:trHeight w:val="369" w:hRule="atLeast"/>
        </w:trPr>
        <w:tc>
          <w:tcPr>
            <w:tcW w:w="6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 w:val="20"/>
                <w:lang w:eastAsia="zh-CN"/>
              </w:rPr>
            </w:pPr>
            <w:r>
              <w:rPr>
                <w:rFonts w:hint="eastAsia"/>
                <w:color w:val="000000"/>
                <w:kern w:val="0"/>
                <w:sz w:val="20"/>
                <w:lang w:val="en-US" w:eastAsia="zh-CN"/>
              </w:rPr>
              <w:t>3</w:t>
            </w:r>
          </w:p>
        </w:tc>
        <w:tc>
          <w:tcPr>
            <w:tcW w:w="3020"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rFonts w:hAnsi="宋体"/>
                <w:color w:val="000000"/>
                <w:kern w:val="0"/>
                <w:sz w:val="20"/>
              </w:rPr>
              <w:t>我区现有建筑企业资质升级奖励</w:t>
            </w: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369"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Ansi="宋体"/>
                <w:color w:val="000000"/>
                <w:kern w:val="0"/>
                <w:sz w:val="20"/>
              </w:rPr>
              <w:t>营业执照</w:t>
            </w:r>
            <w:r>
              <w:rPr>
                <w:rFonts w:hint="eastAsia" w:hAnsi="宋体"/>
                <w:color w:val="000000"/>
                <w:kern w:val="0"/>
                <w:sz w:val="20"/>
                <w:lang w:eastAsia="zh-CN"/>
              </w:rPr>
              <w:t>、</w:t>
            </w:r>
            <w:r>
              <w:rPr>
                <w:rFonts w:hAnsi="宋体"/>
                <w:color w:val="000000"/>
                <w:kern w:val="0"/>
                <w:sz w:val="20"/>
              </w:rPr>
              <w:t>资质证书</w:t>
            </w:r>
          </w:p>
        </w:tc>
      </w:tr>
      <w:tr>
        <w:tblPrEx>
          <w:tblCellMar>
            <w:top w:w="0" w:type="dxa"/>
            <w:left w:w="108" w:type="dxa"/>
            <w:bottom w:w="0" w:type="dxa"/>
            <w:right w:w="108" w:type="dxa"/>
          </w:tblCellMar>
        </w:tblPrEx>
        <w:trPr>
          <w:trHeight w:val="369" w:hRule="atLeast"/>
        </w:trPr>
        <w:tc>
          <w:tcPr>
            <w:tcW w:w="620" w:type="dxa"/>
            <w:vMerge w:val="restart"/>
            <w:tcBorders>
              <w:top w:val="nil"/>
              <w:left w:val="single" w:color="auto" w:sz="4" w:space="0"/>
              <w:right w:val="single" w:color="auto" w:sz="4" w:space="0"/>
            </w:tcBorders>
            <w:noWrap w:val="0"/>
            <w:vAlign w:val="center"/>
          </w:tcPr>
          <w:p>
            <w:pPr>
              <w:widowControl/>
              <w:jc w:val="center"/>
              <w:rPr>
                <w:rFonts w:hint="default"/>
                <w:color w:val="000000"/>
                <w:kern w:val="0"/>
                <w:sz w:val="20"/>
                <w:lang w:val="en-US" w:eastAsia="zh-CN"/>
              </w:rPr>
            </w:pPr>
            <w:r>
              <w:rPr>
                <w:rFonts w:hint="eastAsia"/>
                <w:color w:val="000000"/>
                <w:kern w:val="0"/>
                <w:sz w:val="20"/>
                <w:lang w:val="en-US" w:eastAsia="zh-CN"/>
              </w:rPr>
              <w:t>4</w:t>
            </w:r>
          </w:p>
        </w:tc>
        <w:tc>
          <w:tcPr>
            <w:tcW w:w="3020" w:type="dxa"/>
            <w:vMerge w:val="restart"/>
            <w:tcBorders>
              <w:top w:val="nil"/>
              <w:left w:val="single" w:color="auto" w:sz="4" w:space="0"/>
              <w:right w:val="single" w:color="auto" w:sz="4" w:space="0"/>
            </w:tcBorders>
            <w:noWrap w:val="0"/>
            <w:vAlign w:val="center"/>
          </w:tcPr>
          <w:p>
            <w:pPr>
              <w:widowControl/>
              <w:jc w:val="center"/>
              <w:rPr>
                <w:rFonts w:hAnsi="宋体"/>
                <w:color w:val="000000"/>
                <w:kern w:val="0"/>
                <w:sz w:val="20"/>
              </w:rPr>
            </w:pPr>
            <w:r>
              <w:rPr>
                <w:kern w:val="0"/>
                <w:sz w:val="20"/>
              </w:rPr>
              <w:t>“</w:t>
            </w:r>
            <w:r>
              <w:rPr>
                <w:rFonts w:hAnsi="宋体"/>
                <w:kern w:val="0"/>
                <w:sz w:val="20"/>
              </w:rPr>
              <w:t>鲁班奖</w:t>
            </w:r>
            <w:r>
              <w:rPr>
                <w:kern w:val="0"/>
                <w:sz w:val="20"/>
              </w:rPr>
              <w:t>”</w:t>
            </w:r>
            <w:r>
              <w:rPr>
                <w:rFonts w:hAnsi="宋体"/>
                <w:kern w:val="0"/>
                <w:sz w:val="20"/>
              </w:rPr>
              <w:t>、</w:t>
            </w:r>
            <w:r>
              <w:rPr>
                <w:kern w:val="0"/>
                <w:sz w:val="20"/>
              </w:rPr>
              <w:t>“</w:t>
            </w:r>
            <w:r>
              <w:rPr>
                <w:rFonts w:hAnsi="宋体"/>
                <w:kern w:val="0"/>
                <w:sz w:val="20"/>
              </w:rPr>
              <w:t>詹天佑奖</w:t>
            </w:r>
            <w:r>
              <w:rPr>
                <w:kern w:val="0"/>
                <w:sz w:val="20"/>
              </w:rPr>
              <w:t>”</w:t>
            </w:r>
            <w:r>
              <w:rPr>
                <w:rFonts w:hAnsi="宋体"/>
                <w:kern w:val="0"/>
                <w:sz w:val="20"/>
              </w:rPr>
              <w:t>、</w:t>
            </w:r>
            <w:r>
              <w:rPr>
                <w:kern w:val="0"/>
                <w:sz w:val="20"/>
              </w:rPr>
              <w:t>“</w:t>
            </w:r>
            <w:r>
              <w:rPr>
                <w:rFonts w:hAnsi="宋体"/>
                <w:kern w:val="0"/>
                <w:sz w:val="20"/>
              </w:rPr>
              <w:t>大禹奖</w:t>
            </w:r>
            <w:r>
              <w:rPr>
                <w:kern w:val="0"/>
                <w:sz w:val="20"/>
              </w:rPr>
              <w:t>”/</w:t>
            </w:r>
            <w:r>
              <w:rPr>
                <w:rFonts w:hAnsi="宋体"/>
                <w:kern w:val="0"/>
                <w:sz w:val="20"/>
              </w:rPr>
              <w:t>省市级建设工程优质奖奖励</w:t>
            </w:r>
          </w:p>
        </w:tc>
        <w:tc>
          <w:tcPr>
            <w:tcW w:w="5400" w:type="dxa"/>
            <w:tcBorders>
              <w:top w:val="nil"/>
              <w:left w:val="nil"/>
              <w:bottom w:val="single" w:color="auto" w:sz="4" w:space="0"/>
              <w:right w:val="single" w:color="auto" w:sz="4" w:space="0"/>
            </w:tcBorders>
            <w:noWrap w:val="0"/>
            <w:vAlign w:val="center"/>
          </w:tcPr>
          <w:p>
            <w:pPr>
              <w:widowControl/>
              <w:jc w:val="left"/>
              <w:rPr>
                <w:rFonts w:hAnsi="宋体"/>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369" w:hRule="atLeast"/>
        </w:trPr>
        <w:tc>
          <w:tcPr>
            <w:tcW w:w="620" w:type="dxa"/>
            <w:vMerge w:val="continue"/>
            <w:tcBorders>
              <w:left w:val="single" w:color="auto" w:sz="4" w:space="0"/>
              <w:right w:val="single" w:color="auto" w:sz="4" w:space="0"/>
            </w:tcBorders>
            <w:noWrap w:val="0"/>
            <w:vAlign w:val="center"/>
          </w:tcPr>
          <w:p>
            <w:pPr>
              <w:widowControl/>
              <w:jc w:val="center"/>
              <w:rPr>
                <w:rFonts w:hint="eastAsia"/>
                <w:color w:val="000000"/>
                <w:kern w:val="0"/>
                <w:sz w:val="20"/>
                <w:lang w:val="en-US" w:eastAsia="zh-CN"/>
              </w:rPr>
            </w:pPr>
          </w:p>
        </w:tc>
        <w:tc>
          <w:tcPr>
            <w:tcW w:w="3020" w:type="dxa"/>
            <w:vMerge w:val="continue"/>
            <w:tcBorders>
              <w:left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kern w:val="0"/>
                <w:sz w:val="20"/>
                <w:szCs w:val="22"/>
                <w:lang w:val="en-US" w:eastAsia="zh-CN" w:bidi="ar-SA"/>
              </w:rPr>
            </w:pPr>
            <w:r>
              <w:rPr>
                <w:rFonts w:hAnsi="宋体"/>
                <w:kern w:val="0"/>
                <w:sz w:val="20"/>
              </w:rPr>
              <w:t>施工合同</w:t>
            </w:r>
          </w:p>
        </w:tc>
      </w:tr>
      <w:tr>
        <w:tblPrEx>
          <w:tblCellMar>
            <w:top w:w="0" w:type="dxa"/>
            <w:left w:w="108" w:type="dxa"/>
            <w:bottom w:w="0" w:type="dxa"/>
            <w:right w:w="108" w:type="dxa"/>
          </w:tblCellMar>
        </w:tblPrEx>
        <w:trPr>
          <w:trHeight w:val="369" w:hRule="atLeast"/>
        </w:trPr>
        <w:tc>
          <w:tcPr>
            <w:tcW w:w="620" w:type="dxa"/>
            <w:vMerge w:val="continue"/>
            <w:tcBorders>
              <w:left w:val="single" w:color="auto" w:sz="4" w:space="0"/>
              <w:right w:val="single" w:color="auto" w:sz="4" w:space="0"/>
            </w:tcBorders>
            <w:noWrap w:val="0"/>
            <w:vAlign w:val="center"/>
          </w:tcPr>
          <w:p>
            <w:pPr>
              <w:widowControl/>
              <w:jc w:val="center"/>
              <w:rPr>
                <w:rFonts w:hint="eastAsia"/>
                <w:color w:val="000000"/>
                <w:kern w:val="0"/>
                <w:sz w:val="20"/>
                <w:lang w:val="en-US" w:eastAsia="zh-CN"/>
              </w:rPr>
            </w:pPr>
          </w:p>
        </w:tc>
        <w:tc>
          <w:tcPr>
            <w:tcW w:w="3020" w:type="dxa"/>
            <w:vMerge w:val="continue"/>
            <w:tcBorders>
              <w:left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kern w:val="0"/>
                <w:sz w:val="20"/>
                <w:szCs w:val="22"/>
                <w:lang w:val="en-US" w:eastAsia="zh-CN" w:bidi="ar-SA"/>
              </w:rPr>
            </w:pPr>
            <w:r>
              <w:rPr>
                <w:rFonts w:hAnsi="宋体"/>
                <w:kern w:val="0"/>
                <w:sz w:val="20"/>
              </w:rPr>
              <w:t>竣工验收备案意见表</w:t>
            </w:r>
          </w:p>
        </w:tc>
      </w:tr>
      <w:tr>
        <w:tblPrEx>
          <w:tblCellMar>
            <w:top w:w="0" w:type="dxa"/>
            <w:left w:w="108" w:type="dxa"/>
            <w:bottom w:w="0" w:type="dxa"/>
            <w:right w:w="108" w:type="dxa"/>
          </w:tblCellMar>
        </w:tblPrEx>
        <w:trPr>
          <w:trHeight w:val="490"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olor w:val="000000"/>
                <w:kern w:val="0"/>
                <w:sz w:val="20"/>
                <w:lang w:val="en-US" w:eastAsia="zh-CN"/>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kern w:val="0"/>
                <w:sz w:val="20"/>
                <w:szCs w:val="22"/>
                <w:lang w:val="en-US" w:eastAsia="zh-CN" w:bidi="ar-SA"/>
              </w:rPr>
            </w:pPr>
            <w:r>
              <w:rPr>
                <w:kern w:val="0"/>
                <w:sz w:val="20"/>
              </w:rPr>
              <w:t>“</w:t>
            </w:r>
            <w:r>
              <w:rPr>
                <w:rFonts w:hAnsi="宋体"/>
                <w:kern w:val="0"/>
                <w:sz w:val="20"/>
              </w:rPr>
              <w:t>鲁班奖</w:t>
            </w:r>
            <w:r>
              <w:rPr>
                <w:kern w:val="0"/>
                <w:sz w:val="20"/>
              </w:rPr>
              <w:t>”</w:t>
            </w:r>
            <w:r>
              <w:rPr>
                <w:rFonts w:hAnsi="宋体"/>
                <w:kern w:val="0"/>
                <w:sz w:val="20"/>
              </w:rPr>
              <w:t>、</w:t>
            </w:r>
            <w:r>
              <w:rPr>
                <w:kern w:val="0"/>
                <w:sz w:val="20"/>
              </w:rPr>
              <w:t>“</w:t>
            </w:r>
            <w:r>
              <w:rPr>
                <w:rFonts w:hAnsi="宋体"/>
                <w:kern w:val="0"/>
                <w:sz w:val="20"/>
              </w:rPr>
              <w:t>詹天佑奖</w:t>
            </w:r>
            <w:r>
              <w:rPr>
                <w:kern w:val="0"/>
                <w:sz w:val="20"/>
              </w:rPr>
              <w:t>”</w:t>
            </w:r>
            <w:r>
              <w:rPr>
                <w:rFonts w:hAnsi="宋体"/>
                <w:kern w:val="0"/>
                <w:sz w:val="20"/>
              </w:rPr>
              <w:t>、</w:t>
            </w:r>
            <w:r>
              <w:rPr>
                <w:kern w:val="0"/>
                <w:sz w:val="20"/>
              </w:rPr>
              <w:t>“</w:t>
            </w:r>
            <w:r>
              <w:rPr>
                <w:rFonts w:hAnsi="宋体"/>
                <w:kern w:val="0"/>
                <w:sz w:val="20"/>
              </w:rPr>
              <w:t>大禹奖</w:t>
            </w:r>
            <w:r>
              <w:rPr>
                <w:kern w:val="0"/>
                <w:sz w:val="20"/>
              </w:rPr>
              <w:t>”/</w:t>
            </w:r>
            <w:r>
              <w:rPr>
                <w:rFonts w:hAnsi="宋体"/>
                <w:kern w:val="0"/>
                <w:sz w:val="20"/>
              </w:rPr>
              <w:t>省市级建设工程优质奖奖励</w:t>
            </w:r>
          </w:p>
        </w:tc>
      </w:tr>
      <w:tr>
        <w:tblPrEx>
          <w:tblCellMar>
            <w:top w:w="0" w:type="dxa"/>
            <w:left w:w="108" w:type="dxa"/>
            <w:bottom w:w="0" w:type="dxa"/>
            <w:right w:w="108" w:type="dxa"/>
          </w:tblCellMar>
        </w:tblPrEx>
        <w:trPr>
          <w:trHeight w:val="369"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营业执照</w:t>
            </w:r>
          </w:p>
        </w:tc>
      </w:tr>
      <w:tr>
        <w:tblPrEx>
          <w:tblCellMar>
            <w:top w:w="0" w:type="dxa"/>
            <w:left w:w="108" w:type="dxa"/>
            <w:bottom w:w="0" w:type="dxa"/>
            <w:right w:w="108" w:type="dxa"/>
          </w:tblCellMar>
        </w:tblPrEx>
        <w:trPr>
          <w:trHeight w:val="369" w:hRule="atLeast"/>
        </w:trPr>
        <w:tc>
          <w:tcPr>
            <w:tcW w:w="6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宋体"/>
                <w:color w:val="000000"/>
                <w:kern w:val="0"/>
                <w:sz w:val="20"/>
                <w:lang w:val="en-US" w:eastAsia="zh-CN"/>
              </w:rPr>
            </w:pPr>
            <w:r>
              <w:rPr>
                <w:rFonts w:hint="eastAsia"/>
                <w:color w:val="000000"/>
                <w:kern w:val="0"/>
                <w:sz w:val="20"/>
                <w:lang w:val="en-US" w:eastAsia="zh-CN"/>
              </w:rPr>
              <w:t>5</w:t>
            </w:r>
          </w:p>
        </w:tc>
        <w:tc>
          <w:tcPr>
            <w:tcW w:w="3020" w:type="dxa"/>
            <w:vMerge w:val="restart"/>
            <w:tcBorders>
              <w:top w:val="single" w:color="auto" w:sz="4" w:space="0"/>
              <w:left w:val="single" w:color="auto" w:sz="4" w:space="0"/>
              <w:right w:val="single" w:color="auto" w:sz="4" w:space="0"/>
            </w:tcBorders>
            <w:noWrap w:val="0"/>
            <w:vAlign w:val="center"/>
          </w:tcPr>
          <w:p>
            <w:pPr>
              <w:widowControl/>
              <w:jc w:val="left"/>
              <w:rPr>
                <w:rFonts w:hint="eastAsia" w:hAnsi="宋体" w:eastAsia="宋体"/>
                <w:color w:val="000000"/>
                <w:kern w:val="0"/>
                <w:sz w:val="20"/>
                <w:lang w:eastAsia="zh-CN"/>
              </w:rPr>
            </w:pPr>
            <w:r>
              <w:rPr>
                <w:rFonts w:hint="eastAsia" w:hAnsi="宋体"/>
                <w:color w:val="000000"/>
                <w:kern w:val="0"/>
                <w:sz w:val="20"/>
                <w:lang w:eastAsia="zh-CN"/>
              </w:rPr>
              <w:t>鼓励企业拓展域外市场，助力我区经济发展。我区建筑业企业在区外承建工程并回我区纳税的有关奖励</w:t>
            </w: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rFonts w:ascii="Calibri" w:hAnsi="Calibri" w:eastAsia="宋体" w:cs="Times New Roman"/>
                <w:color w:val="000000"/>
                <w:kern w:val="0"/>
                <w:sz w:val="20"/>
                <w:szCs w:val="22"/>
                <w:lang w:val="en-US" w:eastAsia="zh-CN" w:bidi="ar-SA"/>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369" w:hRule="atLeast"/>
        </w:trPr>
        <w:tc>
          <w:tcPr>
            <w:tcW w:w="620" w:type="dxa"/>
            <w:vMerge w:val="continue"/>
            <w:tcBorders>
              <w:left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left"/>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宋体" w:cs="Times New Roman"/>
                <w:color w:val="000000"/>
                <w:kern w:val="0"/>
                <w:sz w:val="20"/>
                <w:szCs w:val="22"/>
                <w:lang w:val="en-US" w:eastAsia="zh-CN" w:bidi="ar-SA"/>
              </w:rPr>
            </w:pPr>
            <w:r>
              <w:rPr>
                <w:rFonts w:hAnsi="宋体"/>
                <w:color w:val="000000"/>
                <w:kern w:val="0"/>
                <w:sz w:val="20"/>
              </w:rPr>
              <w:t>营业执照</w:t>
            </w:r>
            <w:r>
              <w:rPr>
                <w:rFonts w:hint="eastAsia" w:hAnsi="宋体"/>
                <w:color w:val="000000"/>
                <w:kern w:val="0"/>
                <w:sz w:val="20"/>
                <w:lang w:eastAsia="zh-CN"/>
              </w:rPr>
              <w:t>、</w:t>
            </w:r>
            <w:r>
              <w:rPr>
                <w:rFonts w:hAnsi="宋体"/>
                <w:color w:val="000000"/>
                <w:kern w:val="0"/>
                <w:sz w:val="20"/>
              </w:rPr>
              <w:t>资质证书</w:t>
            </w:r>
          </w:p>
        </w:tc>
      </w:tr>
      <w:tr>
        <w:tblPrEx>
          <w:tblCellMar>
            <w:top w:w="0" w:type="dxa"/>
            <w:left w:w="108" w:type="dxa"/>
            <w:bottom w:w="0" w:type="dxa"/>
            <w:right w:w="108" w:type="dxa"/>
          </w:tblCellMar>
        </w:tblPrEx>
        <w:trPr>
          <w:trHeight w:val="369"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left"/>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color w:val="000000"/>
                <w:kern w:val="0"/>
                <w:sz w:val="20"/>
                <w:szCs w:val="22"/>
                <w:lang w:val="en-US" w:eastAsia="zh-CN" w:bidi="ar-SA"/>
              </w:rPr>
            </w:pPr>
            <w:r>
              <w:rPr>
                <w:rFonts w:hAnsi="宋体"/>
                <w:color w:val="000000"/>
                <w:kern w:val="0"/>
                <w:sz w:val="20"/>
              </w:rPr>
              <w:t>在</w:t>
            </w:r>
            <w:r>
              <w:rPr>
                <w:rFonts w:hint="eastAsia" w:hAnsi="宋体"/>
                <w:color w:val="000000"/>
                <w:kern w:val="0"/>
                <w:sz w:val="20"/>
                <w:lang w:eastAsia="zh-CN"/>
              </w:rPr>
              <w:t>蓬江</w:t>
            </w:r>
            <w:r>
              <w:rPr>
                <w:rFonts w:hAnsi="宋体"/>
                <w:color w:val="000000"/>
                <w:kern w:val="0"/>
                <w:sz w:val="20"/>
              </w:rPr>
              <w:t>区完税凭证</w:t>
            </w:r>
          </w:p>
        </w:tc>
      </w:tr>
      <w:tr>
        <w:tblPrEx>
          <w:tblCellMar>
            <w:top w:w="0" w:type="dxa"/>
            <w:left w:w="108" w:type="dxa"/>
            <w:bottom w:w="0" w:type="dxa"/>
            <w:right w:w="108" w:type="dxa"/>
          </w:tblCellMar>
        </w:tblPrEx>
        <w:trPr>
          <w:trHeight w:val="624" w:hRule="atLeast"/>
        </w:trPr>
        <w:tc>
          <w:tcPr>
            <w:tcW w:w="6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宋体"/>
                <w:color w:val="000000"/>
                <w:kern w:val="0"/>
                <w:sz w:val="20"/>
                <w:lang w:eastAsia="zh-CN"/>
              </w:rPr>
            </w:pPr>
            <w:r>
              <w:rPr>
                <w:rFonts w:hint="eastAsia"/>
                <w:color w:val="000000"/>
                <w:kern w:val="0"/>
                <w:sz w:val="20"/>
                <w:lang w:val="en-US" w:eastAsia="zh-CN"/>
              </w:rPr>
              <w:t>6</w:t>
            </w:r>
          </w:p>
        </w:tc>
        <w:tc>
          <w:tcPr>
            <w:tcW w:w="3020" w:type="dxa"/>
            <w:vMerge w:val="restart"/>
            <w:tcBorders>
              <w:top w:val="single" w:color="auto" w:sz="4" w:space="0"/>
              <w:left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int="eastAsia" w:hAnsi="宋体"/>
                <w:color w:val="000000"/>
                <w:kern w:val="0"/>
                <w:sz w:val="20"/>
                <w:lang w:eastAsia="zh-CN"/>
              </w:rPr>
              <w:t>支持企业科技创新，被认定为高新技术企业，或满足《科技型中小企业评价办法》要求的，积极应用“互联网</w:t>
            </w:r>
            <w:r>
              <w:rPr>
                <w:rFonts w:hint="eastAsia" w:hAnsi="宋体"/>
                <w:color w:val="000000"/>
                <w:kern w:val="0"/>
                <w:sz w:val="20"/>
                <w:lang w:val="en-US" w:eastAsia="zh-CN"/>
              </w:rPr>
              <w:t>+</w:t>
            </w:r>
            <w:r>
              <w:rPr>
                <w:rFonts w:hint="eastAsia" w:hAnsi="宋体"/>
                <w:color w:val="000000"/>
                <w:kern w:val="0"/>
                <w:sz w:val="20"/>
                <w:lang w:eastAsia="zh-CN"/>
              </w:rPr>
              <w:t>”、建筑信息模型（</w:t>
            </w:r>
            <w:r>
              <w:rPr>
                <w:rFonts w:hint="eastAsia" w:hAnsi="宋体"/>
                <w:color w:val="000000"/>
                <w:kern w:val="0"/>
                <w:sz w:val="20"/>
                <w:lang w:val="en-US" w:eastAsia="zh-CN"/>
              </w:rPr>
              <w:t>BIM</w:t>
            </w:r>
            <w:r>
              <w:rPr>
                <w:rFonts w:hint="eastAsia" w:hAnsi="宋体"/>
                <w:color w:val="000000"/>
                <w:kern w:val="0"/>
                <w:sz w:val="20"/>
                <w:lang w:eastAsia="zh-CN"/>
              </w:rPr>
              <w:t>）等新技术以及获得国家或升级有关奖项并有奖金的。</w:t>
            </w: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624" w:hRule="atLeast"/>
        </w:trPr>
        <w:tc>
          <w:tcPr>
            <w:tcW w:w="6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Ansi="宋体"/>
                <w:color w:val="000000"/>
                <w:kern w:val="0"/>
                <w:sz w:val="20"/>
              </w:rPr>
              <w:t>营业执照</w:t>
            </w:r>
          </w:p>
        </w:tc>
      </w:tr>
      <w:tr>
        <w:tblPrEx>
          <w:tblCellMar>
            <w:top w:w="0" w:type="dxa"/>
            <w:left w:w="108" w:type="dxa"/>
            <w:bottom w:w="0" w:type="dxa"/>
            <w:right w:w="108" w:type="dxa"/>
          </w:tblCellMar>
        </w:tblPrEx>
        <w:trPr>
          <w:trHeight w:val="624"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color w:val="000000"/>
                <w:kern w:val="0"/>
                <w:sz w:val="20"/>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left"/>
              <w:rPr>
                <w:rFonts w:hAnsi="宋体"/>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Ansi="宋体"/>
                <w:color w:val="000000"/>
                <w:kern w:val="0"/>
                <w:sz w:val="20"/>
              </w:rPr>
            </w:pPr>
            <w:r>
              <w:rPr>
                <w:rFonts w:hint="eastAsia" w:hAnsi="宋体"/>
                <w:color w:val="000000"/>
                <w:kern w:val="0"/>
                <w:sz w:val="20"/>
                <w:lang w:eastAsia="zh-CN"/>
              </w:rPr>
              <w:t>有关认定、应用及获奖证明</w:t>
            </w:r>
          </w:p>
        </w:tc>
      </w:tr>
      <w:tr>
        <w:tblPrEx>
          <w:tblCellMar>
            <w:top w:w="0" w:type="dxa"/>
            <w:left w:w="108" w:type="dxa"/>
            <w:bottom w:w="0" w:type="dxa"/>
            <w:right w:w="108" w:type="dxa"/>
          </w:tblCellMar>
        </w:tblPrEx>
        <w:trPr>
          <w:trHeight w:val="652" w:hRule="atLeast"/>
        </w:trPr>
        <w:tc>
          <w:tcPr>
            <w:tcW w:w="620" w:type="dxa"/>
            <w:vMerge w:val="restart"/>
            <w:tcBorders>
              <w:top w:val="nil"/>
              <w:left w:val="single" w:color="auto" w:sz="4" w:space="0"/>
              <w:right w:val="single" w:color="auto" w:sz="4" w:space="0"/>
            </w:tcBorders>
            <w:noWrap w:val="0"/>
            <w:vAlign w:val="center"/>
          </w:tcPr>
          <w:p>
            <w:pPr>
              <w:widowControl/>
              <w:jc w:val="center"/>
              <w:rPr>
                <w:rFonts w:hint="eastAsia"/>
                <w:color w:val="000000"/>
                <w:kern w:val="0"/>
                <w:sz w:val="20"/>
                <w:lang w:val="en-US" w:eastAsia="zh-CN"/>
              </w:rPr>
            </w:pPr>
            <w:r>
              <w:rPr>
                <w:sz w:val="20"/>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3810</wp:posOffset>
                      </wp:positionV>
                      <wp:extent cx="5750560" cy="0"/>
                      <wp:effectExtent l="0" t="0" r="0" b="0"/>
                      <wp:wrapNone/>
                      <wp:docPr id="2" name="直接连接符 2"/>
                      <wp:cNvGraphicFramePr/>
                      <a:graphic xmlns:a="http://schemas.openxmlformats.org/drawingml/2006/main">
                        <a:graphicData uri="http://schemas.microsoft.com/office/word/2010/wordprocessingShape">
                          <wps:wsp>
                            <wps:cNvCnPr/>
                            <wps:spPr>
                              <a:xfrm>
                                <a:off x="991870" y="1340485"/>
                                <a:ext cx="57505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pt;margin-top:0.3pt;height:0pt;width:452.8pt;z-index:251658240;mso-width-relative:page;mso-height-relative:page;" filled="f" stroked="t" coordsize="21600,21600" o:gfxdata="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Vk87dIAAAAFAQAADwAA&#10;AAAAAAABACAAAAAiAAAAZHJzL2Rvd25yZXYueG1sUEsBAhQAFAAAAAgAh07iQDffkSfjAQAAkAMA&#10;AA4AAAAAAAAAAQAgAAAAIQEAAGRycy9lMm9Eb2MueG1sUEsFBgAAAAAGAAYAWQEAAHYFAAAAAA==&#10;">
                      <v:fill on="f" focussize="0,0"/>
                      <v:stroke weight="0.5pt" color="#000000 [3200]" joinstyle="round"/>
                      <v:imagedata o:title=""/>
                      <o:lock v:ext="edit" aspectratio="f"/>
                    </v:line>
                  </w:pict>
                </mc:Fallback>
              </mc:AlternateContent>
            </w:r>
          </w:p>
          <w:p>
            <w:pPr>
              <w:widowControl/>
              <w:jc w:val="center"/>
              <w:rPr>
                <w:rFonts w:hint="eastAsia"/>
                <w:color w:val="000000"/>
                <w:kern w:val="0"/>
                <w:sz w:val="20"/>
                <w:lang w:val="en-US" w:eastAsia="zh-CN"/>
              </w:rPr>
            </w:pPr>
          </w:p>
          <w:p>
            <w:pPr>
              <w:keepNext w:val="0"/>
              <w:keepLines w:val="0"/>
              <w:pageBreakBefore w:val="0"/>
              <w:widowControl/>
              <w:kinsoku/>
              <w:wordWrap/>
              <w:overflowPunct/>
              <w:topLinePunct w:val="0"/>
              <w:autoSpaceDE/>
              <w:autoSpaceDN/>
              <w:bidi w:val="0"/>
              <w:adjustRightInd/>
              <w:snapToGrid/>
              <w:spacing w:line="408" w:lineRule="auto"/>
              <w:jc w:val="center"/>
              <w:textAlignment w:val="auto"/>
              <w:rPr>
                <w:rFonts w:hint="eastAsia" w:eastAsia="宋体"/>
                <w:color w:val="000000"/>
                <w:kern w:val="0"/>
                <w:sz w:val="20"/>
                <w:lang w:eastAsia="zh-CN"/>
              </w:rPr>
            </w:pPr>
            <w:r>
              <w:rPr>
                <w:rFonts w:hint="eastAsia"/>
                <w:color w:val="000000"/>
                <w:kern w:val="0"/>
                <w:sz w:val="20"/>
                <w:lang w:val="en-US" w:eastAsia="zh-CN"/>
              </w:rPr>
              <w:t>7</w:t>
            </w:r>
          </w:p>
        </w:tc>
        <w:tc>
          <w:tcPr>
            <w:tcW w:w="3020" w:type="dxa"/>
            <w:vMerge w:val="restart"/>
            <w:tcBorders>
              <w:top w:val="nil"/>
              <w:left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int="eastAsia" w:hAnsi="宋体"/>
                <w:color w:val="000000"/>
                <w:kern w:val="0"/>
                <w:sz w:val="20"/>
                <w:lang w:eastAsia="zh-CN"/>
              </w:rPr>
              <w:t>加强人才培养的奖励</w:t>
            </w: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left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int="eastAsia"/>
                <w:color w:val="000000"/>
                <w:kern w:val="0"/>
                <w:sz w:val="20"/>
                <w:lang w:eastAsia="zh-CN"/>
              </w:rPr>
              <w:t>有关职称资格证书</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color w:val="000000"/>
                <w:kern w:val="0"/>
                <w:sz w:val="20"/>
                <w:lang w:eastAsia="zh-CN"/>
              </w:rPr>
            </w:pPr>
            <w:r>
              <w:rPr>
                <w:rFonts w:hint="eastAsia"/>
                <w:color w:val="000000"/>
                <w:kern w:val="0"/>
                <w:sz w:val="20"/>
                <w:lang w:eastAsia="zh-CN"/>
              </w:rPr>
              <w:t>建筑企业执业年限证明</w:t>
            </w:r>
          </w:p>
        </w:tc>
      </w:tr>
      <w:tr>
        <w:tblPrEx>
          <w:tblCellMar>
            <w:top w:w="0" w:type="dxa"/>
            <w:left w:w="108" w:type="dxa"/>
            <w:bottom w:w="0" w:type="dxa"/>
            <w:right w:w="108" w:type="dxa"/>
          </w:tblCellMar>
        </w:tblPrEx>
        <w:trPr>
          <w:trHeight w:val="567" w:hRule="atLeast"/>
        </w:trPr>
        <w:tc>
          <w:tcPr>
            <w:tcW w:w="6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eastAsia="宋体"/>
                <w:color w:val="000000"/>
                <w:kern w:val="0"/>
                <w:sz w:val="20"/>
                <w:lang w:eastAsia="zh-CN"/>
              </w:rPr>
            </w:pPr>
            <w:r>
              <w:rPr>
                <w:rFonts w:hint="eastAsia"/>
                <w:color w:val="000000"/>
                <w:kern w:val="0"/>
                <w:sz w:val="20"/>
                <w:lang w:val="en-US" w:eastAsia="zh-CN"/>
              </w:rPr>
              <w:t>8</w:t>
            </w:r>
          </w:p>
        </w:tc>
        <w:tc>
          <w:tcPr>
            <w:tcW w:w="30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eastAsia="宋体"/>
                <w:color w:val="000000"/>
                <w:kern w:val="0"/>
                <w:sz w:val="20"/>
                <w:lang w:eastAsia="zh-CN"/>
              </w:rPr>
            </w:pPr>
            <w:r>
              <w:rPr>
                <w:rFonts w:hint="eastAsia" w:hAnsi="宋体"/>
                <w:color w:val="000000"/>
                <w:kern w:val="0"/>
                <w:sz w:val="20"/>
                <w:lang w:eastAsia="zh-CN"/>
              </w:rPr>
              <w:t>加强政策支持，加大金融扶持</w:t>
            </w: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ascii="Calibri" w:hAnsi="Calibri" w:eastAsia="宋体" w:cs="Times New Roman"/>
                <w:color w:val="000000"/>
                <w:kern w:val="0"/>
                <w:sz w:val="20"/>
                <w:szCs w:val="22"/>
                <w:lang w:val="en-US" w:eastAsia="zh-CN" w:bidi="ar-SA"/>
              </w:rPr>
            </w:pPr>
            <w:r>
              <w:rPr>
                <w:rFonts w:hAnsi="宋体"/>
                <w:color w:val="000000"/>
                <w:kern w:val="0"/>
                <w:sz w:val="20"/>
              </w:rPr>
              <w:t>营业执照</w:t>
            </w:r>
            <w:r>
              <w:rPr>
                <w:rFonts w:hint="eastAsia" w:hAnsi="宋体"/>
                <w:color w:val="000000"/>
                <w:kern w:val="0"/>
                <w:sz w:val="20"/>
                <w:lang w:eastAsia="zh-CN"/>
              </w:rPr>
              <w:t>、</w:t>
            </w:r>
            <w:r>
              <w:rPr>
                <w:rFonts w:hAnsi="宋体"/>
                <w:color w:val="000000"/>
                <w:kern w:val="0"/>
                <w:sz w:val="20"/>
              </w:rPr>
              <w:t>资质证书</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完税凭证</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0"/>
                <w:lang w:eastAsia="zh-CN"/>
              </w:rPr>
            </w:pPr>
            <w:r>
              <w:rPr>
                <w:rFonts w:hAnsi="宋体"/>
                <w:color w:val="000000"/>
                <w:kern w:val="0"/>
                <w:sz w:val="20"/>
              </w:rPr>
              <w:t>工程合同</w:t>
            </w:r>
            <w:r>
              <w:rPr>
                <w:rFonts w:hint="eastAsia" w:hAnsi="宋体"/>
                <w:color w:val="000000"/>
                <w:kern w:val="0"/>
                <w:sz w:val="20"/>
                <w:lang w:eastAsia="zh-CN"/>
              </w:rPr>
              <w:t>、施工许可</w:t>
            </w:r>
          </w:p>
        </w:tc>
      </w:tr>
      <w:tr>
        <w:tblPrEx>
          <w:tblCellMar>
            <w:top w:w="0" w:type="dxa"/>
            <w:left w:w="108" w:type="dxa"/>
            <w:bottom w:w="0" w:type="dxa"/>
            <w:right w:w="108" w:type="dxa"/>
          </w:tblCellMar>
        </w:tblPrEx>
        <w:trPr>
          <w:trHeight w:val="567" w:hRule="atLeast"/>
        </w:trPr>
        <w:tc>
          <w:tcPr>
            <w:tcW w:w="620" w:type="dxa"/>
            <w:vMerge w:val="restart"/>
            <w:tcBorders>
              <w:top w:val="single" w:color="auto" w:sz="4" w:space="0"/>
              <w:left w:val="single" w:color="auto" w:sz="4" w:space="0"/>
              <w:right w:val="single" w:color="auto" w:sz="4" w:space="0"/>
            </w:tcBorders>
            <w:noWrap w:val="0"/>
            <w:vAlign w:val="center"/>
          </w:tcPr>
          <w:p>
            <w:pPr>
              <w:widowControl/>
              <w:jc w:val="center"/>
              <w:rPr>
                <w:rFonts w:hint="default"/>
                <w:color w:val="000000"/>
                <w:kern w:val="0"/>
                <w:sz w:val="20"/>
                <w:lang w:val="en-US" w:eastAsia="zh-CN"/>
              </w:rPr>
            </w:pPr>
            <w:r>
              <w:rPr>
                <w:rFonts w:hint="eastAsia"/>
                <w:color w:val="000000"/>
                <w:kern w:val="0"/>
                <w:sz w:val="20"/>
                <w:lang w:val="en-US" w:eastAsia="zh-CN"/>
              </w:rPr>
              <w:t>9</w:t>
            </w:r>
          </w:p>
        </w:tc>
        <w:tc>
          <w:tcPr>
            <w:tcW w:w="3020" w:type="dxa"/>
            <w:vMerge w:val="restart"/>
            <w:tcBorders>
              <w:top w:val="single" w:color="auto" w:sz="4" w:space="0"/>
              <w:left w:val="single" w:color="auto" w:sz="4" w:space="0"/>
              <w:right w:val="single" w:color="auto" w:sz="4" w:space="0"/>
            </w:tcBorders>
            <w:noWrap w:val="0"/>
            <w:vAlign w:val="center"/>
          </w:tcPr>
          <w:p>
            <w:pPr>
              <w:widowControl/>
              <w:jc w:val="center"/>
              <w:rPr>
                <w:rFonts w:hAnsi="宋体"/>
                <w:color w:val="000000"/>
                <w:kern w:val="0"/>
                <w:sz w:val="20"/>
              </w:rPr>
            </w:pPr>
            <w:r>
              <w:rPr>
                <w:rFonts w:hAnsi="宋体"/>
                <w:color w:val="000000"/>
                <w:kern w:val="0"/>
                <w:sz w:val="20"/>
              </w:rPr>
              <w:t>装配式建筑示范项目</w:t>
            </w:r>
            <w:r>
              <w:rPr>
                <w:rFonts w:hint="eastAsia" w:hAnsi="宋体"/>
                <w:color w:val="000000"/>
                <w:kern w:val="0"/>
                <w:sz w:val="20"/>
                <w:lang w:eastAsia="zh-CN"/>
              </w:rPr>
              <w:t>及预制构件生产基地</w:t>
            </w:r>
            <w:r>
              <w:rPr>
                <w:rFonts w:hAnsi="宋体"/>
                <w:color w:val="000000"/>
                <w:kern w:val="0"/>
                <w:sz w:val="20"/>
              </w:rPr>
              <w:t>奖励</w:t>
            </w: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rFonts w:hAnsi="宋体"/>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567" w:hRule="atLeast"/>
        </w:trPr>
        <w:tc>
          <w:tcPr>
            <w:tcW w:w="6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olor w:val="000000"/>
                <w:kern w:val="0"/>
                <w:sz w:val="20"/>
                <w:lang w:val="en-US" w:eastAsia="zh-CN"/>
              </w:rPr>
            </w:pPr>
          </w:p>
        </w:tc>
        <w:tc>
          <w:tcPr>
            <w:tcW w:w="302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olor w:val="000000"/>
                <w:kern w:val="0"/>
                <w:sz w:val="20"/>
              </w:rPr>
            </w:pP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rFonts w:hAnsi="宋体"/>
                <w:color w:val="000000"/>
                <w:kern w:val="0"/>
                <w:sz w:val="20"/>
              </w:rPr>
            </w:pPr>
            <w:r>
              <w:rPr>
                <w:rFonts w:hAnsi="宋体"/>
                <w:color w:val="000000"/>
                <w:kern w:val="0"/>
                <w:sz w:val="20"/>
              </w:rPr>
              <w:t>装配式建筑示范项目</w:t>
            </w:r>
            <w:r>
              <w:rPr>
                <w:rFonts w:hint="eastAsia" w:hAnsi="宋体"/>
                <w:color w:val="000000"/>
                <w:kern w:val="0"/>
                <w:sz w:val="20"/>
                <w:lang w:eastAsia="zh-CN"/>
              </w:rPr>
              <w:t>及预制构件生产基地</w:t>
            </w:r>
            <w:r>
              <w:rPr>
                <w:rFonts w:hAnsi="宋体"/>
                <w:color w:val="000000"/>
                <w:kern w:val="0"/>
                <w:sz w:val="20"/>
              </w:rPr>
              <w:t>证书或认定文件</w:t>
            </w:r>
          </w:p>
        </w:tc>
      </w:tr>
      <w:tr>
        <w:tblPrEx>
          <w:tblCellMar>
            <w:top w:w="0" w:type="dxa"/>
            <w:left w:w="108" w:type="dxa"/>
            <w:bottom w:w="0" w:type="dxa"/>
            <w:right w:w="108" w:type="dxa"/>
          </w:tblCellMar>
        </w:tblPrEx>
        <w:trPr>
          <w:trHeight w:val="567" w:hRule="atLeast"/>
        </w:trPr>
        <w:tc>
          <w:tcPr>
            <w:tcW w:w="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000000"/>
                <w:kern w:val="0"/>
                <w:sz w:val="20"/>
                <w:lang w:val="en-US" w:eastAsia="zh-CN"/>
              </w:rPr>
            </w:pPr>
            <w:r>
              <w:rPr>
                <w:rFonts w:hint="eastAsia"/>
                <w:color w:val="000000"/>
                <w:kern w:val="0"/>
                <w:sz w:val="20"/>
                <w:lang w:val="en-US" w:eastAsia="zh-CN"/>
              </w:rPr>
              <w:t>10</w:t>
            </w:r>
          </w:p>
        </w:tc>
        <w:tc>
          <w:tcPr>
            <w:tcW w:w="30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0"/>
              </w:rPr>
            </w:pPr>
            <w:r>
              <w:rPr>
                <w:rFonts w:hint="eastAsia" w:hAnsi="宋体"/>
                <w:color w:val="000000"/>
                <w:kern w:val="0"/>
                <w:sz w:val="20"/>
                <w:lang w:val="en-US" w:eastAsia="zh-CN"/>
              </w:rPr>
              <w:t xml:space="preserve"> </w:t>
            </w:r>
            <w:r>
              <w:rPr>
                <w:rFonts w:hAnsi="宋体"/>
                <w:color w:val="000000"/>
                <w:kern w:val="0"/>
                <w:sz w:val="20"/>
              </w:rPr>
              <w:t>绿色建筑项目奖励</w:t>
            </w:r>
          </w:p>
        </w:tc>
        <w:tc>
          <w:tcPr>
            <w:tcW w:w="540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w:t>
            </w:r>
            <w:r>
              <w:rPr>
                <w:rFonts w:hint="eastAsia" w:hAnsi="宋体"/>
                <w:color w:val="000000"/>
                <w:kern w:val="0"/>
                <w:sz w:val="20"/>
                <w:lang w:eastAsia="zh-CN"/>
              </w:rPr>
              <w:t>促进</w:t>
            </w:r>
            <w:r>
              <w:rPr>
                <w:rFonts w:hAnsi="宋体"/>
                <w:color w:val="000000"/>
                <w:kern w:val="0"/>
                <w:sz w:val="20"/>
              </w:rPr>
              <w:t>建筑业持续</w:t>
            </w:r>
            <w:r>
              <w:rPr>
                <w:rFonts w:hint="eastAsia" w:hAnsi="宋体"/>
                <w:color w:val="000000"/>
                <w:kern w:val="0"/>
                <w:sz w:val="20"/>
                <w:lang w:eastAsia="zh-CN"/>
              </w:rPr>
              <w:t>健康</w:t>
            </w:r>
            <w:r>
              <w:rPr>
                <w:rFonts w:hAnsi="宋体"/>
                <w:color w:val="000000"/>
                <w:kern w:val="0"/>
                <w:sz w:val="20"/>
              </w:rPr>
              <w:t>发展奖励申请表</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施工合同</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竣工验收备案意见表</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绿色建筑运行评价标识证明材料（证书、文件等）</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Ansi="宋体"/>
                <w:color w:val="000000"/>
                <w:kern w:val="0"/>
                <w:sz w:val="20"/>
              </w:rPr>
              <w:t>成本说明（可使用合同、清单等作为佐证材料）</w:t>
            </w:r>
          </w:p>
        </w:tc>
      </w:tr>
      <w:tr>
        <w:tblPrEx>
          <w:tblCellMar>
            <w:top w:w="0" w:type="dxa"/>
            <w:left w:w="108" w:type="dxa"/>
            <w:bottom w:w="0" w:type="dxa"/>
            <w:right w:w="108" w:type="dxa"/>
          </w:tblCellMar>
        </w:tblPrEx>
        <w:trPr>
          <w:trHeight w:val="567" w:hRule="atLeast"/>
        </w:trPr>
        <w:tc>
          <w:tcPr>
            <w:tcW w:w="6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eastAsia="宋体"/>
                <w:color w:val="000000"/>
                <w:kern w:val="0"/>
                <w:sz w:val="20"/>
                <w:lang w:val="en-US" w:eastAsia="zh-CN"/>
              </w:rPr>
            </w:pPr>
            <w:r>
              <w:rPr>
                <w:rFonts w:hint="eastAsia"/>
                <w:color w:val="000000"/>
                <w:kern w:val="0"/>
                <w:sz w:val="20"/>
                <w:lang w:val="en-US" w:eastAsia="zh-CN"/>
              </w:rPr>
              <w:t>11</w:t>
            </w:r>
          </w:p>
        </w:tc>
        <w:tc>
          <w:tcPr>
            <w:tcW w:w="3020"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rFonts w:hAnsi="宋体"/>
                <w:color w:val="000000"/>
                <w:kern w:val="0"/>
                <w:sz w:val="20"/>
              </w:rPr>
              <w:t>建筑业绿色施工示范工程的项目奖励</w:t>
            </w: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蓬江</w:t>
            </w:r>
            <w:r>
              <w:rPr>
                <w:rFonts w:hAnsi="宋体"/>
                <w:color w:val="000000"/>
                <w:kern w:val="0"/>
                <w:sz w:val="20"/>
              </w:rPr>
              <w:t>区推动建筑业持续发展奖励补贴申请表</w:t>
            </w:r>
          </w:p>
        </w:tc>
      </w:tr>
      <w:tr>
        <w:tblPrEx>
          <w:tblCellMar>
            <w:top w:w="0" w:type="dxa"/>
            <w:left w:w="108" w:type="dxa"/>
            <w:bottom w:w="0" w:type="dxa"/>
            <w:right w:w="108" w:type="dxa"/>
          </w:tblCellMar>
        </w:tblPrEx>
        <w:trPr>
          <w:trHeight w:val="567" w:hRule="atLeast"/>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302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540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hAnsi="宋体"/>
                <w:color w:val="000000"/>
                <w:kern w:val="0"/>
                <w:sz w:val="20"/>
                <w:lang w:eastAsia="zh-CN"/>
              </w:rPr>
              <w:t>全国</w:t>
            </w:r>
            <w:r>
              <w:rPr>
                <w:rFonts w:hAnsi="宋体"/>
                <w:color w:val="000000"/>
                <w:kern w:val="0"/>
                <w:sz w:val="20"/>
              </w:rPr>
              <w:t>建筑业绿色施工示范工程的项目证书或认定文件</w:t>
            </w:r>
          </w:p>
        </w:tc>
      </w:tr>
      <w:tr>
        <w:tblPrEx>
          <w:tblCellMar>
            <w:top w:w="0" w:type="dxa"/>
            <w:left w:w="108" w:type="dxa"/>
            <w:bottom w:w="0" w:type="dxa"/>
            <w:right w:w="108" w:type="dxa"/>
          </w:tblCellMar>
        </w:tblPrEx>
        <w:trPr>
          <w:trHeight w:val="1831" w:hRule="atLeast"/>
        </w:trPr>
        <w:tc>
          <w:tcPr>
            <w:tcW w:w="9040" w:type="dxa"/>
            <w:gridSpan w:val="3"/>
            <w:tcBorders>
              <w:top w:val="single" w:color="auto" w:sz="4" w:space="0"/>
              <w:left w:val="nil"/>
              <w:bottom w:val="nil"/>
              <w:right w:val="nil"/>
            </w:tcBorders>
            <w:noWrap w:val="0"/>
            <w:vAlign w:val="top"/>
          </w:tcPr>
          <w:p>
            <w:pPr>
              <w:widowControl/>
              <w:jc w:val="left"/>
              <w:rPr>
                <w:color w:val="000000"/>
                <w:kern w:val="0"/>
                <w:sz w:val="20"/>
              </w:rPr>
            </w:pPr>
            <w:r>
              <w:rPr>
                <w:color w:val="000000"/>
                <w:kern w:val="0"/>
                <w:sz w:val="20"/>
              </w:rPr>
              <w:br w:type="textWrapping"/>
            </w:r>
            <w:r>
              <w:rPr>
                <w:rFonts w:hAnsi="宋体"/>
                <w:color w:val="000000"/>
                <w:kern w:val="0"/>
                <w:sz w:val="20"/>
              </w:rPr>
              <w:t>注：本清单为《关于</w:t>
            </w:r>
            <w:r>
              <w:rPr>
                <w:rFonts w:hint="eastAsia" w:hAnsi="宋体"/>
                <w:color w:val="000000"/>
                <w:kern w:val="0"/>
                <w:sz w:val="20"/>
                <w:lang w:eastAsia="zh-CN"/>
              </w:rPr>
              <w:t>促进蓬江区建筑业持续健康发展的若干意见（试行）</w:t>
            </w:r>
            <w:r>
              <w:rPr>
                <w:rFonts w:hAnsi="宋体"/>
                <w:color w:val="000000"/>
                <w:kern w:val="0"/>
                <w:sz w:val="20"/>
              </w:rPr>
              <w:t>》中企业主动申请奖励时需提供的材料清单，</w:t>
            </w:r>
            <w:r>
              <w:rPr>
                <w:rFonts w:hint="eastAsia" w:hAnsi="宋体"/>
                <w:color w:val="000000"/>
                <w:kern w:val="0"/>
                <w:sz w:val="20"/>
                <w:lang w:eastAsia="zh-CN"/>
              </w:rPr>
              <w:t>蓬江</w:t>
            </w:r>
            <w:r>
              <w:rPr>
                <w:rFonts w:hAnsi="宋体"/>
                <w:color w:val="000000"/>
                <w:kern w:val="0"/>
                <w:sz w:val="20"/>
              </w:rPr>
              <w:t>区住房和城乡建设局收到申请资料后可能会要求企业补充其他材料作为佐证，具体以</w:t>
            </w:r>
            <w:r>
              <w:rPr>
                <w:rFonts w:hint="eastAsia" w:hAnsi="宋体"/>
                <w:color w:val="000000"/>
                <w:kern w:val="0"/>
                <w:sz w:val="20"/>
                <w:lang w:eastAsia="zh-CN"/>
              </w:rPr>
              <w:t>蓬江</w:t>
            </w:r>
            <w:r>
              <w:rPr>
                <w:rFonts w:hAnsi="宋体"/>
                <w:color w:val="000000"/>
                <w:kern w:val="0"/>
                <w:sz w:val="20"/>
              </w:rPr>
              <w:t>区住房和城乡建设局要求为准。</w:t>
            </w:r>
          </w:p>
        </w:tc>
      </w:tr>
    </w:tbl>
    <w:p>
      <w:pPr>
        <w:ind w:firstLine="630"/>
        <w:jc w:val="left"/>
        <w:rPr>
          <w:rFonts w:ascii="仿宋_GB2312" w:eastAsia="仿宋_GB2312"/>
          <w:sz w:val="32"/>
          <w:szCs w:val="32"/>
        </w:rPr>
      </w:pPr>
    </w:p>
    <w:p>
      <w:pPr>
        <w:spacing w:line="560" w:lineRule="exact"/>
        <w:rPr>
          <w:rFonts w:ascii="仿宋_GB2312" w:eastAsia="仿宋_GB2312"/>
          <w:sz w:val="32"/>
          <w:szCs w:val="32"/>
        </w:rPr>
      </w:pPr>
    </w:p>
    <w:sectPr>
      <w:footerReference r:id="rId3" w:type="default"/>
      <w:footerReference r:id="rId4" w:type="even"/>
      <w:pgSz w:w="11906" w:h="16838"/>
      <w:pgMar w:top="2098" w:right="1588"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D"/>
    <w:rsid w:val="0000797D"/>
    <w:rsid w:val="00017323"/>
    <w:rsid w:val="000450F9"/>
    <w:rsid w:val="00053303"/>
    <w:rsid w:val="000E08A4"/>
    <w:rsid w:val="000F2B3C"/>
    <w:rsid w:val="001034C6"/>
    <w:rsid w:val="0010412D"/>
    <w:rsid w:val="00115948"/>
    <w:rsid w:val="001B0576"/>
    <w:rsid w:val="001D2349"/>
    <w:rsid w:val="001E74F9"/>
    <w:rsid w:val="002216C8"/>
    <w:rsid w:val="00305D1B"/>
    <w:rsid w:val="0031791D"/>
    <w:rsid w:val="003259C7"/>
    <w:rsid w:val="00336897"/>
    <w:rsid w:val="0033747B"/>
    <w:rsid w:val="00343D78"/>
    <w:rsid w:val="003701FD"/>
    <w:rsid w:val="00377DC6"/>
    <w:rsid w:val="00386829"/>
    <w:rsid w:val="003F3D85"/>
    <w:rsid w:val="00404145"/>
    <w:rsid w:val="00420627"/>
    <w:rsid w:val="00442383"/>
    <w:rsid w:val="0047527D"/>
    <w:rsid w:val="004D0286"/>
    <w:rsid w:val="004F0A22"/>
    <w:rsid w:val="005028DA"/>
    <w:rsid w:val="005163CC"/>
    <w:rsid w:val="00574CA1"/>
    <w:rsid w:val="005C28AD"/>
    <w:rsid w:val="005C312C"/>
    <w:rsid w:val="005D5B75"/>
    <w:rsid w:val="00643A35"/>
    <w:rsid w:val="0065322B"/>
    <w:rsid w:val="006604AB"/>
    <w:rsid w:val="00673F33"/>
    <w:rsid w:val="00683DF0"/>
    <w:rsid w:val="00695E3D"/>
    <w:rsid w:val="006A0002"/>
    <w:rsid w:val="006A069D"/>
    <w:rsid w:val="006C0242"/>
    <w:rsid w:val="0076113C"/>
    <w:rsid w:val="007A77AD"/>
    <w:rsid w:val="007B1FED"/>
    <w:rsid w:val="007B3A35"/>
    <w:rsid w:val="007D5E76"/>
    <w:rsid w:val="00804D17"/>
    <w:rsid w:val="00861901"/>
    <w:rsid w:val="008677DF"/>
    <w:rsid w:val="00890720"/>
    <w:rsid w:val="00896A7B"/>
    <w:rsid w:val="008B3A3C"/>
    <w:rsid w:val="008D3009"/>
    <w:rsid w:val="00903466"/>
    <w:rsid w:val="009136FD"/>
    <w:rsid w:val="00916272"/>
    <w:rsid w:val="00924B39"/>
    <w:rsid w:val="00967077"/>
    <w:rsid w:val="00967304"/>
    <w:rsid w:val="00977E5B"/>
    <w:rsid w:val="00A24F07"/>
    <w:rsid w:val="00A65970"/>
    <w:rsid w:val="00B33C56"/>
    <w:rsid w:val="00B421E7"/>
    <w:rsid w:val="00B56C8D"/>
    <w:rsid w:val="00B759DE"/>
    <w:rsid w:val="00BD38D0"/>
    <w:rsid w:val="00C02800"/>
    <w:rsid w:val="00C2093F"/>
    <w:rsid w:val="00C34DF6"/>
    <w:rsid w:val="00C5202C"/>
    <w:rsid w:val="00C60C72"/>
    <w:rsid w:val="00C6431B"/>
    <w:rsid w:val="00C7200B"/>
    <w:rsid w:val="00C858D8"/>
    <w:rsid w:val="00CB0C54"/>
    <w:rsid w:val="00CC644E"/>
    <w:rsid w:val="00CD1D2A"/>
    <w:rsid w:val="00D10129"/>
    <w:rsid w:val="00D36AF4"/>
    <w:rsid w:val="00D70EF3"/>
    <w:rsid w:val="00DC2E4E"/>
    <w:rsid w:val="00DE6AD5"/>
    <w:rsid w:val="00DF25EC"/>
    <w:rsid w:val="00E07196"/>
    <w:rsid w:val="00E67F02"/>
    <w:rsid w:val="00E872D3"/>
    <w:rsid w:val="00F033F7"/>
    <w:rsid w:val="00F06A24"/>
    <w:rsid w:val="00F17282"/>
    <w:rsid w:val="00F6004E"/>
    <w:rsid w:val="00F82C5D"/>
    <w:rsid w:val="00FE2A94"/>
    <w:rsid w:val="01DF6CAB"/>
    <w:rsid w:val="024449F9"/>
    <w:rsid w:val="049311C8"/>
    <w:rsid w:val="07DE1FFB"/>
    <w:rsid w:val="0AD21327"/>
    <w:rsid w:val="0CE81C79"/>
    <w:rsid w:val="12296C27"/>
    <w:rsid w:val="12346DC6"/>
    <w:rsid w:val="12C00A5E"/>
    <w:rsid w:val="18996A62"/>
    <w:rsid w:val="19BC0756"/>
    <w:rsid w:val="1E636AC7"/>
    <w:rsid w:val="1F945EB0"/>
    <w:rsid w:val="2A8B7526"/>
    <w:rsid w:val="2BDF0688"/>
    <w:rsid w:val="2E4744CA"/>
    <w:rsid w:val="30482BF3"/>
    <w:rsid w:val="32B04BFC"/>
    <w:rsid w:val="32CF6D87"/>
    <w:rsid w:val="337626B0"/>
    <w:rsid w:val="36472858"/>
    <w:rsid w:val="3FA46AD0"/>
    <w:rsid w:val="4C003CE4"/>
    <w:rsid w:val="4FE05F63"/>
    <w:rsid w:val="534B115B"/>
    <w:rsid w:val="59CA5642"/>
    <w:rsid w:val="5A393D95"/>
    <w:rsid w:val="5DEC6A7E"/>
    <w:rsid w:val="614D1C1F"/>
    <w:rsid w:val="617B0713"/>
    <w:rsid w:val="61C37455"/>
    <w:rsid w:val="72066442"/>
    <w:rsid w:val="75DF1A2C"/>
    <w:rsid w:val="76C47C74"/>
    <w:rsid w:val="77307D3E"/>
    <w:rsid w:val="791264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9"/>
    <w:qFormat/>
    <w:locked/>
    <w:uiPriority w:val="0"/>
    <w:pPr>
      <w:widowControl/>
      <w:spacing w:before="100" w:beforeAutospacing="1" w:after="100" w:afterAutospacing="1"/>
      <w:jc w:val="left"/>
      <w:outlineLvl w:val="3"/>
    </w:pPr>
    <w:rPr>
      <w:rFonts w:ascii="宋体" w:hAnsi="宋体" w:cs="宋体"/>
      <w:b/>
      <w:bCs/>
      <w:kern w:val="0"/>
      <w:sz w:val="24"/>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locked/>
    <w:uiPriority w:val="99"/>
    <w:rPr>
      <w:rFonts w:cs="Times New Roman"/>
      <w:sz w:val="18"/>
      <w:szCs w:val="18"/>
    </w:rPr>
  </w:style>
  <w:style w:type="character" w:customStyle="1" w:styleId="8">
    <w:name w:val="页眉 Char"/>
    <w:link w:val="4"/>
    <w:semiHidden/>
    <w:qFormat/>
    <w:locked/>
    <w:uiPriority w:val="99"/>
    <w:rPr>
      <w:rFonts w:cs="Times New Roman"/>
      <w:sz w:val="18"/>
      <w:szCs w:val="18"/>
    </w:rPr>
  </w:style>
  <w:style w:type="character" w:customStyle="1" w:styleId="9">
    <w:name w:val="标题 4 Char"/>
    <w:link w:val="2"/>
    <w:qFormat/>
    <w:uiPriority w:val="0"/>
    <w:rPr>
      <w:rFonts w:ascii="宋体" w:hAnsi="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5E577-18BE-432D-879A-F16F788A93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73</Words>
  <Characters>421</Characters>
  <Lines>3</Lines>
  <Paragraphs>1</Paragraphs>
  <TotalTime>110</TotalTime>
  <ScaleCrop>false</ScaleCrop>
  <LinksUpToDate>false</LinksUpToDate>
  <CharactersWithSpaces>493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2019-02-21T01:44:00Z</dcterms:created>
  <dc:creator>微软用户</dc:creator>
  <cp:lastModifiedBy>Administrator</cp:lastModifiedBy>
  <cp:lastPrinted>2020-07-23T07:00:00Z</cp:lastPrinted>
  <dcterms:modified xsi:type="dcterms:W3CDTF">2020-07-24T09:26:37Z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