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100" w:line="360" w:lineRule="auto"/>
        <w:jc w:val="center"/>
        <w:rPr>
          <w:rFonts w:ascii="文鼎小标宋简" w:hAnsi="宋体" w:eastAsia="文鼎小标宋简" w:cs="宋体"/>
          <w:bCs/>
          <w:sz w:val="44"/>
          <w:szCs w:val="44"/>
        </w:rPr>
      </w:pPr>
      <w:r>
        <w:rPr>
          <w:rFonts w:hint="eastAsia" w:ascii="方正小标宋简体" w:hAnsi="仿宋" w:eastAsia="方正小标宋简体" w:cs="方正仿宋简体"/>
          <w:color w:val="000000"/>
          <w:sz w:val="32"/>
          <w:szCs w:val="32"/>
        </w:rPr>
        <w:t>江门市餐具洗涤剂</w:t>
      </w:r>
      <w:r>
        <w:rPr>
          <w:rFonts w:hint="eastAsia" w:ascii="方正小标宋简体" w:hAnsi="仿宋" w:eastAsia="方正小标宋简体" w:cs="方正仿宋简体"/>
          <w:bCs/>
          <w:color w:val="000000"/>
          <w:sz w:val="32"/>
          <w:szCs w:val="32"/>
        </w:rPr>
        <w:t>质量安全监督抽查</w:t>
      </w:r>
      <w:r>
        <w:rPr>
          <w:rFonts w:hint="eastAsia" w:ascii="方正小标宋简体" w:hAnsi="仿宋" w:eastAsia="方正小标宋简体" w:cs="方正仿宋简体"/>
          <w:color w:val="000000"/>
          <w:sz w:val="32"/>
          <w:szCs w:val="32"/>
        </w:rPr>
        <w:t>实施细则</w:t>
      </w:r>
    </w:p>
    <w:p>
      <w:pPr>
        <w:spacing w:line="360" w:lineRule="auto"/>
        <w:ind w:firstLine="420" w:firstLineChars="200"/>
        <w:rPr>
          <w:rFonts w:hint="eastAsia" w:ascii="仿宋_GB2312" w:hAnsi="仿宋_GB2312" w:eastAsia="仿宋_GB2312" w:cs="仿宋_GB2312"/>
          <w:sz w:val="28"/>
          <w:szCs w:val="28"/>
        </w:rPr>
      </w:pPr>
      <w:r>
        <w:rPr>
          <w:rFonts w:hint="eastAsia" w:ascii="宋体" w:hAnsi="宋体"/>
          <w:color w:val="000000"/>
          <w:szCs w:val="21"/>
        </w:rPr>
        <w:t>本细则适用于江门市生产环节中餐具洗涤剂的市级监督抽查。监督抽查产品范围包括手洗、机洗餐具(含果蔬)用洗涤剂等餐具洗涤剂产品。</w:t>
      </w:r>
    </w:p>
    <w:p>
      <w:pPr>
        <w:snapToGrid w:val="0"/>
        <w:spacing w:line="360" w:lineRule="auto"/>
        <w:rPr>
          <w:rFonts w:hint="eastAsia" w:ascii="黑体" w:hAnsi="宋体" w:eastAsia="黑体"/>
          <w:color w:val="000000"/>
          <w:szCs w:val="21"/>
        </w:rPr>
      </w:pPr>
      <w:r>
        <w:rPr>
          <w:rFonts w:hint="eastAsia" w:ascii="黑体" w:hAnsi="宋体" w:eastAsia="黑体"/>
          <w:color w:val="000000"/>
          <w:szCs w:val="21"/>
        </w:rPr>
        <w:t>1 抽样方法</w:t>
      </w:r>
      <w:bookmarkStart w:id="0" w:name="_GoBack"/>
      <w:bookmarkEnd w:id="0"/>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以随机抽样的方式在被抽样生产者的待销产品中抽取。</w:t>
      </w:r>
    </w:p>
    <w:p>
      <w:pPr>
        <w:snapToGrid w:val="0"/>
        <w:spacing w:line="360" w:lineRule="auto"/>
        <w:ind w:firstLine="420" w:firstLineChars="200"/>
        <w:rPr>
          <w:b/>
        </w:rPr>
      </w:pPr>
      <w:r>
        <w:rPr>
          <w:rFonts w:hint="eastAsia" w:ascii="宋体" w:hAnsi="宋体"/>
          <w:color w:val="000000"/>
          <w:szCs w:val="21"/>
        </w:rPr>
        <w:t>随机数一般可使用随机数表、随机数骰子或扑克牌等方法产生。</w:t>
      </w:r>
    </w:p>
    <w:p>
      <w:pPr>
        <w:snapToGrid w:val="0"/>
        <w:spacing w:line="440" w:lineRule="exact"/>
        <w:outlineLvl w:val="0"/>
        <w:rPr>
          <w:rFonts w:hint="eastAsia" w:ascii="黑体" w:hAnsi="宋体" w:eastAsia="黑体"/>
          <w:color w:val="000000"/>
          <w:szCs w:val="21"/>
        </w:rPr>
      </w:pPr>
      <w:r>
        <w:rPr>
          <w:rFonts w:hint="eastAsia" w:ascii="黑体" w:hAnsi="宋体" w:eastAsia="黑体"/>
          <w:color w:val="000000"/>
          <w:szCs w:val="21"/>
        </w:rPr>
        <w:t>2 检验依据</w:t>
      </w:r>
    </w:p>
    <w:p>
      <w:pPr>
        <w:widowControl/>
        <w:jc w:val="left"/>
        <w:rPr>
          <w:b/>
        </w:rPr>
      </w:pPr>
    </w:p>
    <w:tbl>
      <w:tblPr>
        <w:tblStyle w:val="4"/>
        <w:tblW w:w="883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280"/>
        <w:gridCol w:w="1739"/>
        <w:gridCol w:w="2214"/>
        <w:gridCol w:w="952"/>
        <w:gridCol w:w="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280"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检验项目</w:t>
            </w:r>
          </w:p>
        </w:tc>
        <w:tc>
          <w:tcPr>
            <w:tcW w:w="1739"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依据标准</w:t>
            </w:r>
          </w:p>
        </w:tc>
        <w:tc>
          <w:tcPr>
            <w:tcW w:w="2214"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检测方法</w:t>
            </w:r>
          </w:p>
        </w:tc>
        <w:tc>
          <w:tcPr>
            <w:tcW w:w="1854" w:type="dxa"/>
            <w:gridSpan w:val="2"/>
            <w:tcBorders>
              <w:top w:val="single" w:color="auto" w:sz="4" w:space="0"/>
              <w:left w:val="single" w:color="auto" w:sz="4" w:space="0"/>
              <w:bottom w:val="single" w:color="auto" w:sz="4" w:space="0"/>
              <w:right w:val="single" w:color="auto" w:sz="4" w:space="0"/>
            </w:tcBorders>
          </w:tcPr>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重要程度或不合格程度分类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7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szCs w:val="21"/>
              </w:rPr>
            </w:pPr>
          </w:p>
        </w:tc>
        <w:tc>
          <w:tcPr>
            <w:tcW w:w="228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szCs w:val="21"/>
              </w:rPr>
            </w:pPr>
          </w:p>
        </w:tc>
        <w:tc>
          <w:tcPr>
            <w:tcW w:w="17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szCs w:val="21"/>
              </w:rPr>
            </w:pPr>
          </w:p>
        </w:tc>
        <w:tc>
          <w:tcPr>
            <w:tcW w:w="221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szCs w:val="21"/>
              </w:rPr>
            </w:pPr>
          </w:p>
        </w:tc>
        <w:tc>
          <w:tcPr>
            <w:tcW w:w="952" w:type="dxa"/>
            <w:tcBorders>
              <w:top w:val="single" w:color="auto" w:sz="4" w:space="0"/>
              <w:left w:val="single" w:color="auto" w:sz="4" w:space="0"/>
              <w:bottom w:val="single" w:color="auto" w:sz="4" w:space="0"/>
              <w:right w:val="single" w:color="auto" w:sz="4" w:space="0"/>
            </w:tcBorders>
          </w:tcPr>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A类a</w:t>
            </w:r>
          </w:p>
        </w:tc>
        <w:tc>
          <w:tcPr>
            <w:tcW w:w="902" w:type="dxa"/>
            <w:tcBorders>
              <w:top w:val="single" w:color="auto" w:sz="4" w:space="0"/>
              <w:left w:val="single" w:color="auto" w:sz="4" w:space="0"/>
              <w:bottom w:val="single" w:color="auto" w:sz="4" w:space="0"/>
              <w:right w:val="single" w:color="auto" w:sz="4" w:space="0"/>
            </w:tcBorders>
          </w:tcPr>
          <w:p>
            <w:pPr>
              <w:snapToGrid w:val="0"/>
              <w:jc w:val="center"/>
              <w:rPr>
                <w:rFonts w:ascii="仿宋_GB2312" w:hAnsi="仿宋_GB2312" w:eastAsia="仿宋_GB2312" w:cs="仿宋_GB2312"/>
                <w:szCs w:val="21"/>
              </w:rPr>
            </w:pPr>
            <w:r>
              <w:rPr>
                <w:rFonts w:hint="eastAsia" w:ascii="仿宋_GB2312" w:hAnsi="仿宋_GB2312" w:eastAsia="仿宋_GB2312" w:cs="仿宋_GB2312"/>
                <w:szCs w:val="21"/>
              </w:rPr>
              <w:t>B类b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2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感官</w:t>
            </w:r>
          </w:p>
        </w:tc>
        <w:tc>
          <w:tcPr>
            <w:tcW w:w="173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22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9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p>
        </w:tc>
        <w:tc>
          <w:tcPr>
            <w:tcW w:w="9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2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总活性物含量</w:t>
            </w:r>
          </w:p>
        </w:tc>
        <w:tc>
          <w:tcPr>
            <w:tcW w:w="173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22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QB 1994</w:t>
            </w:r>
          </w:p>
        </w:tc>
        <w:tc>
          <w:tcPr>
            <w:tcW w:w="9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p>
        </w:tc>
        <w:tc>
          <w:tcPr>
            <w:tcW w:w="9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2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pH</w:t>
            </w:r>
          </w:p>
        </w:tc>
        <w:tc>
          <w:tcPr>
            <w:tcW w:w="173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22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6368</w:t>
            </w:r>
          </w:p>
        </w:tc>
        <w:tc>
          <w:tcPr>
            <w:tcW w:w="9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p>
        </w:tc>
        <w:tc>
          <w:tcPr>
            <w:tcW w:w="9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2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去污力</w:t>
            </w:r>
          </w:p>
        </w:tc>
        <w:tc>
          <w:tcPr>
            <w:tcW w:w="173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22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9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9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2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荧光增白剂</w:t>
            </w:r>
          </w:p>
        </w:tc>
        <w:tc>
          <w:tcPr>
            <w:tcW w:w="173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22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9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9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2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甲醇</w:t>
            </w:r>
          </w:p>
        </w:tc>
        <w:tc>
          <w:tcPr>
            <w:tcW w:w="173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22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30795</w:t>
            </w:r>
          </w:p>
        </w:tc>
        <w:tc>
          <w:tcPr>
            <w:tcW w:w="9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9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2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甲醛</w:t>
            </w:r>
          </w:p>
        </w:tc>
        <w:tc>
          <w:tcPr>
            <w:tcW w:w="173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22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30796</w:t>
            </w:r>
          </w:p>
        </w:tc>
        <w:tc>
          <w:tcPr>
            <w:tcW w:w="9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9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2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砷（以As计）</w:t>
            </w:r>
          </w:p>
        </w:tc>
        <w:tc>
          <w:tcPr>
            <w:tcW w:w="173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22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30797</w:t>
            </w:r>
          </w:p>
        </w:tc>
        <w:tc>
          <w:tcPr>
            <w:tcW w:w="9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9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2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重金属（以Pb计）</w:t>
            </w:r>
          </w:p>
        </w:tc>
        <w:tc>
          <w:tcPr>
            <w:tcW w:w="173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9985</w:t>
            </w:r>
          </w:p>
        </w:tc>
        <w:tc>
          <w:tcPr>
            <w:tcW w:w="22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GB/T 30799</w:t>
            </w:r>
          </w:p>
        </w:tc>
        <w:tc>
          <w:tcPr>
            <w:tcW w:w="9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9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2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菌落总数</w:t>
            </w:r>
          </w:p>
        </w:tc>
        <w:tc>
          <w:tcPr>
            <w:tcW w:w="173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 14930.1</w:t>
            </w:r>
          </w:p>
        </w:tc>
        <w:tc>
          <w:tcPr>
            <w:tcW w:w="22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 4789.2</w:t>
            </w:r>
          </w:p>
        </w:tc>
        <w:tc>
          <w:tcPr>
            <w:tcW w:w="9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9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4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228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大肠菌群</w:t>
            </w:r>
          </w:p>
        </w:tc>
        <w:tc>
          <w:tcPr>
            <w:tcW w:w="173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 14930.1</w:t>
            </w:r>
          </w:p>
        </w:tc>
        <w:tc>
          <w:tcPr>
            <w:tcW w:w="221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GB 4789.3</w:t>
            </w:r>
          </w:p>
        </w:tc>
        <w:tc>
          <w:tcPr>
            <w:tcW w:w="95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r>
              <w:rPr>
                <w:rFonts w:hint="eastAsia" w:ascii="仿宋_GB2312" w:hAnsi="仿宋_GB2312" w:eastAsia="仿宋_GB2312" w:cs="仿宋_GB2312"/>
                <w:szCs w:val="21"/>
              </w:rPr>
              <w:t>●</w:t>
            </w:r>
          </w:p>
        </w:tc>
        <w:tc>
          <w:tcPr>
            <w:tcW w:w="902"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2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34" w:type="dxa"/>
            <w:gridSpan w:val="6"/>
            <w:tcBorders>
              <w:top w:val="single" w:color="auto" w:sz="4" w:space="0"/>
              <w:left w:val="single" w:color="auto" w:sz="4" w:space="0"/>
              <w:bottom w:val="single" w:color="auto" w:sz="4" w:space="0"/>
              <w:right w:val="single" w:color="auto" w:sz="4" w:space="0"/>
            </w:tcBorders>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注：a 极重要质量项目</w:t>
            </w:r>
          </w:p>
          <w:p>
            <w:pPr>
              <w:autoSpaceDE w:val="0"/>
              <w:autoSpaceDN w:val="0"/>
              <w:adjustRightInd w:val="0"/>
              <w:spacing w:line="32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b 重要质量项目</w:t>
            </w:r>
          </w:p>
        </w:tc>
      </w:tr>
    </w:tbl>
    <w:p>
      <w:pPr>
        <w:snapToGrid w:val="0"/>
        <w:spacing w:line="360" w:lineRule="auto"/>
        <w:rPr>
          <w:rFonts w:ascii="仿宋_GB2312" w:hAnsi="仿宋_GB2312" w:eastAsia="仿宋_GB2312" w:cs="仿宋_GB2312"/>
          <w:szCs w:val="21"/>
        </w:rPr>
      </w:pPr>
      <w:r>
        <w:rPr>
          <w:rFonts w:hint="eastAsia" w:ascii="仿宋_GB2312" w:hAnsi="仿宋_GB2312" w:eastAsia="仿宋_GB2312" w:cs="仿宋_GB2312"/>
          <w:szCs w:val="21"/>
        </w:rPr>
        <w:t>注：①极重要质量项目是指直接涉及人体健康、使用安全的指标；重要质量项目是指产品涉及环保、能效、关键性能或特征值的指标。</w:t>
      </w:r>
    </w:p>
    <w:p>
      <w:pPr>
        <w:snapToGrid w:val="0"/>
        <w:spacing w:line="360" w:lineRule="auto"/>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②上表所列检验项目是有关法律法规、标准等规定的，重点涉及健康、安全、节能、环保以及消费者、有关组织反映有质量问题的重要项目。</w:t>
      </w:r>
    </w:p>
    <w:p>
      <w:pPr>
        <w:spacing w:line="360" w:lineRule="auto"/>
        <w:ind w:firstLine="420"/>
        <w:rPr>
          <w:rFonts w:ascii="仿宋_GB2312" w:hAnsi="仿宋_GB2312" w:eastAsia="仿宋_GB2312" w:cs="仿宋_GB2312"/>
          <w:sz w:val="28"/>
          <w:szCs w:val="28"/>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pacing w:beforeLines="50" w:line="360" w:lineRule="auto"/>
        <w:ind w:left="420" w:hanging="420" w:hangingChars="200"/>
        <w:outlineLvl w:val="0"/>
        <w:rPr>
          <w:rFonts w:hint="eastAsia" w:ascii="黑体" w:hAnsi="黑体" w:eastAsia="黑体"/>
          <w:color w:val="000000"/>
          <w:szCs w:val="21"/>
        </w:rPr>
      </w:pPr>
      <w:r>
        <w:rPr>
          <w:rFonts w:hint="eastAsia" w:ascii="黑体" w:hAnsi="黑体" w:eastAsia="黑体"/>
          <w:color w:val="000000"/>
          <w:szCs w:val="21"/>
        </w:rPr>
        <w:t>3 判定规则</w:t>
      </w:r>
    </w:p>
    <w:p>
      <w:pPr>
        <w:snapToGrid w:val="0"/>
        <w:spacing w:line="360" w:lineRule="auto"/>
        <w:rPr>
          <w:rFonts w:hint="eastAsia" w:ascii="宋体" w:hAnsi="宋体"/>
          <w:color w:val="000000"/>
          <w:szCs w:val="21"/>
        </w:rPr>
      </w:pPr>
      <w:r>
        <w:rPr>
          <w:rFonts w:hint="eastAsia" w:ascii="宋体" w:hAnsi="宋体"/>
          <w:color w:val="000000"/>
          <w:szCs w:val="21"/>
        </w:rPr>
        <w:t>3.1 依据标准</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 4789.2 食品安全国家标准 食品微生物学检验 菌落总数测定</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 4789.3 食品安全国家标准 食品微生物学检验 大肠菌群计数</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GB/T 9985 手洗餐具用洗涤剂</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 14930.1 食品安全国家标准 洗涤剂</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GB/T 24691 果蔬清洗剂</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GB/T 30795 食品用洗涤剂试验方法 甲醇的测定</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GB/T 30796 食品用洗涤剂试验方法 甲醛的测定</w:t>
      </w:r>
    </w:p>
    <w:p>
      <w:pPr>
        <w:snapToGrid w:val="0"/>
        <w:spacing w:line="360" w:lineRule="auto"/>
        <w:ind w:firstLine="420" w:firstLineChars="200"/>
        <w:rPr>
          <w:rFonts w:ascii="宋体" w:hAnsi="宋体"/>
          <w:color w:val="000000"/>
          <w:szCs w:val="21"/>
        </w:rPr>
      </w:pPr>
      <w:r>
        <w:rPr>
          <w:rFonts w:hint="eastAsia" w:ascii="宋体" w:hAnsi="宋体"/>
          <w:color w:val="000000"/>
          <w:szCs w:val="21"/>
        </w:rPr>
        <w:t>GB/T 30797 食品用洗涤剂试验方法 总砷的测定</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GB/T 30799 食品用洗涤剂试验方法 重金属的测定</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360" w:lineRule="auto"/>
        <w:outlineLvl w:val="0"/>
        <w:rPr>
          <w:rFonts w:ascii="宋体" w:hAnsi="宋体"/>
          <w:color w:val="000000"/>
          <w:szCs w:val="21"/>
        </w:rPr>
      </w:pPr>
      <w:r>
        <w:rPr>
          <w:rFonts w:hint="eastAsia" w:ascii="宋体" w:hAnsi="宋体"/>
          <w:color w:val="000000"/>
          <w:szCs w:val="21"/>
        </w:rPr>
        <w:t>3.2判定原则</w:t>
      </w:r>
    </w:p>
    <w:p>
      <w:pPr>
        <w:snapToGrid w:val="0"/>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经检验，检验项目全部合格，判定为被抽查产品合格；检验项目中任一项或一项以上不合格，判定为被抽查产品不合格。当产品存在A类项目不合格时，属于严重不合格。</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若被检产品明示的质量要求低于或包含本细则中检验项目依据的推荐性标准要求时，应以被检产品明示的质量要求判定。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360" w:lineRule="auto"/>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w:t>
      </w:r>
    </w:p>
    <w:p>
      <w:pPr>
        <w:ind w:firstLine="420" w:firstLineChars="200"/>
      </w:pPr>
      <w:r>
        <w:rPr>
          <w:rFonts w:hint="eastAsia" w:ascii="宋体" w:hAnsi="宋体"/>
          <w:color w:val="000000"/>
          <w:szCs w:val="21"/>
        </w:rPr>
        <w:t>依据GB 4789.1-2016 《食品安全国家标准 食品微生物学检验 总则》第7.3条规定“检验结果报告后，剩余样品和同批产品不进行微生物项目的复检”和卫健委“卫监督发[2005]515号”《健康相关产品国家卫生监督抽检规定》第十九条：“产品微生物指标超标的不予复检”的规定，微生物指标不合格不进行复检。</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鼎小标宋简">
    <w:altName w:val="微软雅黑"/>
    <w:panose1 w:val="00000000000000000000"/>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201060103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85841799"/>
      <w:docPartObj>
        <w:docPartGallery w:val="AutoText"/>
      </w:docPartObj>
    </w:sdtPr>
    <w:sdtContent>
      <w:p>
        <w:pPr>
          <w:pStyle w:val="2"/>
          <w:jc w:val="right"/>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613B7"/>
    <w:rsid w:val="000D2893"/>
    <w:rsid w:val="00326443"/>
    <w:rsid w:val="004C63E8"/>
    <w:rsid w:val="004D2989"/>
    <w:rsid w:val="005D1733"/>
    <w:rsid w:val="006F09C0"/>
    <w:rsid w:val="00997189"/>
    <w:rsid w:val="009E2642"/>
    <w:rsid w:val="00DE7E70"/>
    <w:rsid w:val="00E613B7"/>
    <w:rsid w:val="781736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227</Words>
  <Characters>1294</Characters>
  <Lines>10</Lines>
  <Paragraphs>3</Paragraphs>
  <TotalTime>2</TotalTime>
  <ScaleCrop>false</ScaleCrop>
  <LinksUpToDate>false</LinksUpToDate>
  <CharactersWithSpaces>1518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2019-07-12T00:28:00Z</dcterms:created>
  <dc:creator>陈卓辉</dc:creator>
  <cp:lastModifiedBy>Administrator</cp:lastModifiedBy>
  <dcterms:modified xsi:type="dcterms:W3CDTF">2020-05-11T06:57:17Z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