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方正小标宋简体" w:hAnsi="仿宋" w:eastAsia="方正小标宋简体" w:cs="仿宋"/>
          <w:color w:val="auto"/>
          <w:sz w:val="2"/>
          <w:szCs w:val="44"/>
        </w:rPr>
      </w:pPr>
      <w:r>
        <w:rPr>
          <w:rFonts w:hint="eastAsia" w:ascii="方正小标宋简体" w:hAnsi="仿宋" w:eastAsia="方正小标宋简体" w:cs="仿宋"/>
          <w:color w:val="auto"/>
          <w:sz w:val="2"/>
          <w:szCs w:val="44"/>
        </w:rPr>
        <w:t>江门市沙仔尾新兴凉果综合商行</w:t>
      </w:r>
    </w:p>
    <w:p>
      <w:pPr>
        <w:jc w:val="center"/>
        <w:rPr>
          <w:rFonts w:ascii="方正小标宋简体" w:hAnsi="仿宋" w:eastAsia="方正小标宋简体" w:cs="仿宋"/>
          <w:color w:val="auto"/>
          <w:sz w:val="44"/>
          <w:szCs w:val="44"/>
        </w:rPr>
      </w:pPr>
      <w:r>
        <w:rPr>
          <w:rFonts w:hint="eastAsia" w:ascii="方正小标宋简体" w:hAnsi="仿宋" w:eastAsia="方正小标宋简体" w:cs="仿宋"/>
          <w:color w:val="auto"/>
          <w:sz w:val="44"/>
          <w:szCs w:val="44"/>
        </w:rPr>
        <w:t>江门市蓬江区市场监督管理局关于不合格食品核查处置情况的通告</w:t>
      </w:r>
    </w:p>
    <w:p>
      <w:pPr>
        <w:jc w:val="center"/>
        <w:rPr>
          <w:rFonts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17</w:t>
      </w:r>
      <w:bookmarkStart w:id="0" w:name="_GoBack"/>
      <w:bookmarkEnd w:id="0"/>
      <w:r>
        <w:rPr>
          <w:rFonts w:hint="eastAsia" w:ascii="仿宋" w:hAnsi="仿宋" w:eastAsia="仿宋" w:cs="仿宋"/>
          <w:color w:val="auto"/>
          <w:sz w:val="32"/>
          <w:szCs w:val="32"/>
        </w:rPr>
        <w:t>日）</w:t>
      </w:r>
    </w:p>
    <w:p>
      <w:pPr>
        <w:spacing w:line="460" w:lineRule="exac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lang w:eastAsia="zh-CN"/>
        </w:rPr>
        <w:t>江门市市场监督管理局</w:t>
      </w:r>
      <w:r>
        <w:rPr>
          <w:rFonts w:hint="eastAsia" w:ascii="仿宋" w:hAnsi="仿宋" w:eastAsia="仿宋" w:cs="仿宋_GB2312"/>
          <w:color w:val="auto"/>
          <w:sz w:val="28"/>
          <w:szCs w:val="28"/>
        </w:rPr>
        <w:t>组织食品安全监督抽检，发现我区江门市蓬江区粤兴食品厂</w:t>
      </w:r>
      <w:r>
        <w:rPr>
          <w:rFonts w:hint="eastAsia" w:ascii="仿宋" w:hAnsi="仿宋" w:eastAsia="仿宋" w:cs="仿宋_GB2312"/>
          <w:color w:val="auto"/>
          <w:sz w:val="28"/>
          <w:szCs w:val="28"/>
          <w:lang w:eastAsia="zh-CN"/>
        </w:rPr>
        <w:t>生产</w:t>
      </w:r>
      <w:r>
        <w:rPr>
          <w:rFonts w:hint="eastAsia" w:ascii="仿宋" w:hAnsi="仿宋" w:eastAsia="仿宋" w:cs="仿宋_GB2312"/>
          <w:color w:val="auto"/>
          <w:sz w:val="28"/>
          <w:szCs w:val="28"/>
        </w:rPr>
        <w:t>的食品不合格，现将不合格食品核查处置情况通告如下：</w:t>
      </w:r>
    </w:p>
    <w:p>
      <w:pPr>
        <w:spacing w:line="460" w:lineRule="exact"/>
        <w:ind w:firstLine="560" w:firstLineChars="200"/>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lang w:val="zh-CN" w:eastAsia="zh-CN"/>
        </w:rPr>
        <w:t>奶黄包（530克/包）</w:t>
      </w:r>
      <w:r>
        <w:rPr>
          <w:rFonts w:hint="eastAsia" w:ascii="仿宋" w:hAnsi="仿宋" w:eastAsia="仿宋" w:cs="仿宋_GB2312"/>
          <w:color w:val="auto"/>
          <w:sz w:val="28"/>
          <w:szCs w:val="28"/>
          <w:lang w:eastAsia="zh-CN"/>
        </w:rPr>
        <w:t>。</w:t>
      </w:r>
    </w:p>
    <w:p>
      <w:pPr>
        <w:spacing w:line="46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（一）</w:t>
      </w:r>
      <w:r>
        <w:rPr>
          <w:rFonts w:hint="eastAsia" w:ascii="仿宋" w:hAnsi="仿宋" w:eastAsia="仿宋" w:cs="仿宋_GB2312"/>
          <w:color w:val="auto"/>
          <w:sz w:val="28"/>
          <w:szCs w:val="28"/>
          <w:lang w:val="zh-CN"/>
        </w:rPr>
        <w:t>2020年6月21日，我局在国家食品安全抽样检验系统上获取了江门市市场监督管理局上传的抽样检验不合格报告（No:20201200232-2a），生产日期为2020年5月6日的奶黄包（530克/包），生产商为江门市蓬江区粤兴食品厂。经抽样检验，营养标签-钠不符合GB28050-2011《食品安全国家标准  预包装食品营养标签通则》要求，检验结论为不合格。</w:t>
      </w:r>
      <w:r>
        <w:rPr>
          <w:rFonts w:hint="eastAsia" w:ascii="仿宋" w:hAnsi="仿宋" w:eastAsia="仿宋" w:cs="仿宋_GB2312"/>
          <w:color w:val="auto"/>
          <w:sz w:val="28"/>
          <w:szCs w:val="28"/>
        </w:rPr>
        <w:t xml:space="preserve">                            </w:t>
      </w:r>
    </w:p>
    <w:p>
      <w:pPr>
        <w:numPr>
          <w:ilvl w:val="0"/>
          <w:numId w:val="1"/>
        </w:numPr>
        <w:spacing w:line="500" w:lineRule="exact"/>
        <w:ind w:firstLine="601"/>
        <w:jc w:val="left"/>
        <w:rPr>
          <w:rFonts w:hint="eastAsia" w:ascii="仿宋" w:hAnsi="仿宋" w:eastAsia="仿宋" w:cs="仿宋_GB2312"/>
          <w:color w:val="auto"/>
          <w:sz w:val="28"/>
          <w:szCs w:val="28"/>
          <w:lang w:val="zh-CN"/>
        </w:rPr>
      </w:pPr>
      <w:r>
        <w:rPr>
          <w:rFonts w:hint="eastAsia" w:ascii="仿宋" w:hAnsi="仿宋" w:eastAsia="仿宋" w:cs="仿宋_GB2312"/>
          <w:color w:val="auto"/>
          <w:sz w:val="28"/>
          <w:szCs w:val="28"/>
          <w:lang w:val="zh-CN"/>
        </w:rPr>
        <w:t>我局于2020年6月29日到你厂地址送达检验报告（No：20201200232-2a），并依法检查了你厂的生产车间、包装车间、仓库均未发现检验报告中的批次产品，故未采取强制措施。</w:t>
      </w: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（三）你厂生产的食品“奶黄包”，钠含量的实测值超出允许误差范围，不符合GB 28050-2011条款6.4：“在产品保质期内，能量和营养成分含量的允许误差范围应符合表 2 的规定。 能量和营养成分：食品中的能量以及脂肪、饱和脂肪（酸）、反式脂肪（酸），胆固醇，钠，糖（除外乳糖） 允许误差范围：≤120%标示值”的要求”，违反了《中华人民共和国食品安全法》第七十一条第二款。根据《中华人民共和国行政处罚法》第二十七条第二款的规定，决定对你厂生产经营标签不符合食品安全规定食品</w:t>
      </w:r>
      <w:r>
        <w:rPr>
          <w:rFonts w:hint="eastAsia" w:ascii="仿宋_GB2312" w:hAnsi="仿宋_GB2312" w:eastAsia="仿宋_GB2312" w:cs="仿宋_GB2312"/>
          <w:sz w:val="30"/>
          <w:szCs w:val="30"/>
          <w:lang w:val="zh-CN" w:eastAsia="zh-CN"/>
        </w:rPr>
        <w:t>的行为</w:t>
      </w:r>
      <w:r>
        <w:rPr>
          <w:rFonts w:hint="eastAsia" w:ascii="仿宋_GB2312" w:hAnsi="仿宋_GB2312" w:eastAsia="仿宋_GB2312" w:cs="仿宋_GB2312"/>
          <w:sz w:val="30"/>
          <w:szCs w:val="30"/>
          <w:lang w:val="zh-CN"/>
        </w:rPr>
        <w:t>不予行政处罚。</w:t>
      </w:r>
    </w:p>
    <w:p>
      <w:pPr>
        <w:snapToGrid w:val="0"/>
        <w:spacing w:line="520" w:lineRule="exact"/>
        <w:ind w:firstLine="600" w:firstLineChars="200"/>
        <w:rPr>
          <w:rFonts w:ascii="仿宋_GB2312" w:hAnsi="仿宋" w:eastAsia="仿宋_GB2312" w:cs="仿宋"/>
          <w:sz w:val="30"/>
          <w:szCs w:val="30"/>
        </w:rPr>
      </w:pPr>
    </w:p>
    <w:p>
      <w:pPr>
        <w:spacing w:line="520" w:lineRule="exact"/>
        <w:ind w:firstLine="560" w:firstLineChars="200"/>
        <w:jc w:val="left"/>
        <w:rPr>
          <w:rFonts w:hint="eastAsia" w:eastAsia="仿宋"/>
          <w:color w:val="auto"/>
          <w:sz w:val="32"/>
          <w:szCs w:val="32"/>
          <w:lang w:eastAsia="zh-CN"/>
        </w:rPr>
      </w:pPr>
      <w:r>
        <w:rPr>
          <w:rFonts w:hint="eastAsia" w:ascii="仿宋" w:hAnsi="仿宋" w:eastAsia="仿宋" w:cs="仿宋_GB2312"/>
          <w:color w:val="auto"/>
          <w:sz w:val="28"/>
          <w:szCs w:val="28"/>
        </w:rPr>
        <w:t>（行政处罚决定书编号：</w:t>
      </w:r>
      <w:r>
        <w:rPr>
          <w:rFonts w:hint="eastAsia" w:ascii="仿宋" w:hAnsi="仿宋" w:eastAsia="仿宋"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 name="直接箭头连接符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VGITBAIAAPw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d8Sln&#10;Fgxd+O27mx9vP95+/fL9w83Pb++T/fkTmyapeo8lZSztOhw89OuQeO+aYNKfGLFdlnd/lFfuIhO0&#10;eXZxPpnNSHlBscn0Iqtf/Mn1AeNT6QxLRsUxBlBtF5fOWrpHFyZZYdg+w0jVKfF3QiqsLesJdTY+&#10;SwWABhPfkGE8UUPb5lR0WtVXSuuUgKHdLHVgW0ijkb9EkWD/OpZqrAC74VwODUPTSaif2JrFvSfR&#10;LL0VnjowsuZMS3paySJAKCMofcpJKq1tSpB5cA80k+aDysnauHqfxS+SR0OROz4McJq6uz7Zdx/t&#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yVRiEw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color w:val="auto"/>
          <w:sz w:val="28"/>
          <w:szCs w:val="28"/>
        </w:rPr>
        <w:t>蓬江市监</w:t>
      </w:r>
      <w:r>
        <w:rPr>
          <w:rFonts w:hint="eastAsia" w:ascii="仿宋" w:hAnsi="仿宋" w:eastAsia="仿宋" w:cs="仿宋_GB2312"/>
          <w:color w:val="auto"/>
          <w:sz w:val="28"/>
          <w:szCs w:val="28"/>
          <w:lang w:eastAsia="zh-CN"/>
        </w:rPr>
        <w:t>不</w:t>
      </w:r>
      <w:r>
        <w:rPr>
          <w:rFonts w:hint="eastAsia" w:ascii="仿宋" w:hAnsi="仿宋" w:eastAsia="仿宋" w:cs="仿宋_GB2312"/>
          <w:color w:val="auto"/>
          <w:sz w:val="28"/>
          <w:szCs w:val="28"/>
        </w:rPr>
        <w:t>罚决〔20</w:t>
      </w:r>
      <w:r>
        <w:rPr>
          <w:rFonts w:hint="eastAsia" w:ascii="仿宋" w:hAnsi="仿宋" w:eastAsia="仿宋" w:cs="仿宋_GB2312"/>
          <w:color w:val="auto"/>
          <w:sz w:val="28"/>
          <w:szCs w:val="28"/>
          <w:lang w:val="en-US" w:eastAsia="zh-CN"/>
        </w:rPr>
        <w:t>20</w:t>
      </w:r>
      <w:r>
        <w:rPr>
          <w:rFonts w:hint="eastAsia" w:ascii="仿宋" w:hAnsi="仿宋" w:eastAsia="仿宋" w:cs="仿宋_GB2312"/>
          <w:color w:val="auto"/>
          <w:sz w:val="28"/>
          <w:szCs w:val="28"/>
        </w:rPr>
        <w:t>〕</w:t>
      </w:r>
      <w:r>
        <w:rPr>
          <w:rFonts w:hint="eastAsia" w:ascii="仿宋" w:hAnsi="仿宋" w:eastAsia="仿宋" w:cs="仿宋_GB2312"/>
          <w:color w:val="auto"/>
          <w:sz w:val="28"/>
          <w:szCs w:val="28"/>
          <w:lang w:val="en-US" w:eastAsia="zh-CN"/>
        </w:rPr>
        <w:t>91</w:t>
      </w:r>
      <w:r>
        <w:rPr>
          <w:rFonts w:hint="eastAsia" w:ascii="仿宋" w:hAnsi="仿宋" w:eastAsia="仿宋" w:cs="仿宋_GB2312"/>
          <w:color w:val="auto"/>
          <w:sz w:val="28"/>
          <w:szCs w:val="28"/>
        </w:rPr>
        <w:t>号</w:t>
      </w:r>
      <w:r>
        <w:rPr>
          <w:rFonts w:hint="eastAsia" w:ascii="仿宋" w:hAnsi="仿宋" w:eastAsia="仿宋" w:cs="仿宋_GB2312"/>
          <w:color w:val="auto"/>
          <w:sz w:val="28"/>
          <w:szCs w:val="28"/>
          <w:lang w:eastAsia="zh-CN"/>
        </w:rPr>
        <w:t>）</w:t>
      </w:r>
    </w:p>
    <w:p>
      <w:pPr>
        <w:spacing w:line="460" w:lineRule="exact"/>
        <w:ind w:firstLine="560" w:firstLineChars="200"/>
        <w:rPr>
          <w:rFonts w:ascii="仿宋" w:hAnsi="仿宋" w:eastAsia="仿宋" w:cs="仿宋_GB2312"/>
          <w:color w:val="auto"/>
          <w:sz w:val="28"/>
          <w:szCs w:val="28"/>
        </w:rPr>
      </w:pPr>
    </w:p>
    <w:p>
      <w:pPr>
        <w:spacing w:line="460" w:lineRule="exact"/>
        <w:ind w:firstLine="4200" w:firstLineChars="1500"/>
        <w:jc w:val="center"/>
        <w:rPr>
          <w:rFonts w:ascii="仿宋" w:hAnsi="仿宋" w:eastAsia="仿宋" w:cs="仿宋_GB2312"/>
          <w:color w:val="auto"/>
          <w:sz w:val="28"/>
          <w:szCs w:val="28"/>
        </w:rPr>
      </w:pPr>
      <w:r>
        <w:rPr>
          <w:rFonts w:hint="eastAsia" w:ascii="仿宋" w:hAnsi="仿宋" w:eastAsia="仿宋" w:cs="仿宋_GB2312"/>
          <w:color w:val="auto"/>
          <w:sz w:val="28"/>
          <w:szCs w:val="28"/>
        </w:rPr>
        <w:t>江门市蓬江区市场监督管理局</w:t>
      </w:r>
    </w:p>
    <w:p>
      <w:pPr>
        <w:spacing w:line="460" w:lineRule="exact"/>
        <w:ind w:firstLine="4200" w:firstLineChars="1500"/>
        <w:jc w:val="center"/>
        <w:rPr>
          <w:rFonts w:ascii="仿宋" w:hAnsi="仿宋" w:eastAsia="仿宋" w:cs="仿宋_GB2312"/>
          <w:color w:val="auto"/>
          <w:sz w:val="28"/>
          <w:szCs w:val="28"/>
        </w:rPr>
        <w:sectPr>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_GB2312"/>
          <w:color w:val="auto"/>
          <w:sz w:val="28"/>
          <w:szCs w:val="28"/>
        </w:rPr>
        <w:t>20</w:t>
      </w:r>
      <w:r>
        <w:rPr>
          <w:rFonts w:hint="eastAsia" w:ascii="仿宋" w:hAnsi="仿宋" w:eastAsia="仿宋" w:cs="仿宋_GB2312"/>
          <w:color w:val="auto"/>
          <w:sz w:val="28"/>
          <w:szCs w:val="28"/>
          <w:lang w:val="en-US" w:eastAsia="zh-CN"/>
        </w:rPr>
        <w:t>20</w:t>
      </w:r>
      <w:r>
        <w:rPr>
          <w:rFonts w:hint="eastAsia" w:ascii="仿宋" w:hAnsi="仿宋" w:eastAsia="仿宋" w:cs="仿宋_GB2312"/>
          <w:color w:val="auto"/>
          <w:sz w:val="28"/>
          <w:szCs w:val="28"/>
        </w:rPr>
        <w:t>年</w:t>
      </w:r>
      <w:r>
        <w:rPr>
          <w:rFonts w:hint="eastAsia" w:ascii="仿宋" w:hAnsi="仿宋" w:eastAsia="仿宋" w:cs="仿宋_GB2312"/>
          <w:color w:val="auto"/>
          <w:sz w:val="28"/>
          <w:szCs w:val="28"/>
          <w:lang w:val="en-US" w:eastAsia="zh-CN"/>
        </w:rPr>
        <w:t>9</w:t>
      </w:r>
      <w:r>
        <w:rPr>
          <w:rFonts w:hint="eastAsia" w:ascii="仿宋" w:hAnsi="仿宋" w:eastAsia="仿宋" w:cs="仿宋_GB2312"/>
          <w:color w:val="auto"/>
          <w:sz w:val="28"/>
          <w:szCs w:val="28"/>
        </w:rPr>
        <w:t>月</w:t>
      </w:r>
      <w:r>
        <w:rPr>
          <w:rFonts w:hint="eastAsia" w:ascii="仿宋" w:hAnsi="仿宋" w:eastAsia="仿宋" w:cs="仿宋_GB2312"/>
          <w:color w:val="auto"/>
          <w:sz w:val="28"/>
          <w:szCs w:val="28"/>
          <w:lang w:val="en-US" w:eastAsia="zh-CN"/>
        </w:rPr>
        <w:t>17</w:t>
      </w:r>
      <w:r>
        <w:rPr>
          <w:rFonts w:hint="eastAsia" w:ascii="仿宋" w:hAnsi="仿宋" w:eastAsia="仿宋" w:cs="仿宋_GB2312"/>
          <w:color w:val="auto"/>
          <w:sz w:val="28"/>
          <w:szCs w:val="28"/>
        </w:rPr>
        <w:t>日</w:t>
      </w:r>
    </w:p>
    <w:p>
      <w:pPr>
        <w:spacing w:line="460" w:lineRule="exact"/>
        <w:ind w:firstLine="4200" w:firstLineChars="1500"/>
        <w:jc w:val="center"/>
        <w:rPr>
          <w:rFonts w:ascii="仿宋" w:hAnsi="仿宋" w:eastAsia="仿宋" w:cs="仿宋_GB2312"/>
          <w:color w:val="auto"/>
          <w:sz w:val="28"/>
          <w:szCs w:val="28"/>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2B024"/>
    <w:multiLevelType w:val="singleLevel"/>
    <w:tmpl w:val="AFD2B0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00027189"/>
    <w:rsid w:val="00065E2A"/>
    <w:rsid w:val="00166787"/>
    <w:rsid w:val="00170B6E"/>
    <w:rsid w:val="00187F19"/>
    <w:rsid w:val="001911BD"/>
    <w:rsid w:val="001B119F"/>
    <w:rsid w:val="001C479B"/>
    <w:rsid w:val="001D6606"/>
    <w:rsid w:val="002A2D4C"/>
    <w:rsid w:val="002D2BDC"/>
    <w:rsid w:val="002D7025"/>
    <w:rsid w:val="00310ED8"/>
    <w:rsid w:val="003B3C4E"/>
    <w:rsid w:val="003C1125"/>
    <w:rsid w:val="003D2912"/>
    <w:rsid w:val="00441DE9"/>
    <w:rsid w:val="004A35C7"/>
    <w:rsid w:val="004B466B"/>
    <w:rsid w:val="004F3474"/>
    <w:rsid w:val="005473B0"/>
    <w:rsid w:val="005478C1"/>
    <w:rsid w:val="005A10C8"/>
    <w:rsid w:val="00613F4F"/>
    <w:rsid w:val="006B0356"/>
    <w:rsid w:val="006E5CF7"/>
    <w:rsid w:val="007C2E71"/>
    <w:rsid w:val="007D0C27"/>
    <w:rsid w:val="00843AA3"/>
    <w:rsid w:val="00843DFE"/>
    <w:rsid w:val="00875C2D"/>
    <w:rsid w:val="008846B6"/>
    <w:rsid w:val="00897BB2"/>
    <w:rsid w:val="008B1186"/>
    <w:rsid w:val="008F6F65"/>
    <w:rsid w:val="00902353"/>
    <w:rsid w:val="00920AE9"/>
    <w:rsid w:val="0095695C"/>
    <w:rsid w:val="00A213A5"/>
    <w:rsid w:val="00A676F0"/>
    <w:rsid w:val="00A91F30"/>
    <w:rsid w:val="00AB748E"/>
    <w:rsid w:val="00AC6C5E"/>
    <w:rsid w:val="00AD0CBE"/>
    <w:rsid w:val="00B5101C"/>
    <w:rsid w:val="00BD6AF5"/>
    <w:rsid w:val="00C76CF1"/>
    <w:rsid w:val="00CA041B"/>
    <w:rsid w:val="00CE156A"/>
    <w:rsid w:val="00CF30B8"/>
    <w:rsid w:val="00D02B00"/>
    <w:rsid w:val="00D31C59"/>
    <w:rsid w:val="00DB08E2"/>
    <w:rsid w:val="00DF0947"/>
    <w:rsid w:val="00DF2236"/>
    <w:rsid w:val="00E04B83"/>
    <w:rsid w:val="00E16FA3"/>
    <w:rsid w:val="00E26A41"/>
    <w:rsid w:val="00E912D6"/>
    <w:rsid w:val="00EC4B3D"/>
    <w:rsid w:val="00ED0A04"/>
    <w:rsid w:val="00EE4B12"/>
    <w:rsid w:val="00F17F5F"/>
    <w:rsid w:val="00F35A99"/>
    <w:rsid w:val="00F80588"/>
    <w:rsid w:val="00FE206F"/>
    <w:rsid w:val="137C75FC"/>
    <w:rsid w:val="19DA4995"/>
    <w:rsid w:val="19F04AB5"/>
    <w:rsid w:val="258E029A"/>
    <w:rsid w:val="48750012"/>
    <w:rsid w:val="5E692F61"/>
    <w:rsid w:val="60177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iPriority w:val="0"/>
    <w:pPr>
      <w:tabs>
        <w:tab w:val="center" w:pos="4153"/>
        <w:tab w:val="right" w:pos="8306"/>
      </w:tabs>
      <w:snapToGrid w:val="0"/>
      <w:jc w:val="left"/>
    </w:pPr>
    <w:rPr>
      <w:sz w:val="18"/>
      <w:szCs w:val="18"/>
    </w:rPr>
  </w:style>
  <w:style w:type="paragraph" w:styleId="3">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 w:type="character" w:styleId="9">
    <w:name w:val="HTML Code"/>
    <w:basedOn w:val="6"/>
    <w:qFormat/>
    <w:uiPriority w:val="0"/>
    <w:rPr>
      <w:rFonts w:ascii="Courier New" w:hAnsi="Courier New"/>
      <w:sz w:val="20"/>
    </w:rPr>
  </w:style>
  <w:style w:type="paragraph" w:customStyle="1" w:styleId="10">
    <w:name w:val="列出段落1"/>
    <w:basedOn w:val="1"/>
    <w:qFormat/>
    <w:uiPriority w:val="34"/>
    <w:pPr>
      <w:ind w:firstLine="420" w:firstLineChars="200"/>
    </w:pPr>
  </w:style>
  <w:style w:type="character" w:customStyle="1" w:styleId="11">
    <w:name w:val="calendar-head__text-display"/>
    <w:basedOn w:val="6"/>
    <w:qFormat/>
    <w:uiPriority w:val="0"/>
    <w:rPr>
      <w:vanish/>
    </w:rPr>
  </w:style>
  <w:style w:type="character" w:customStyle="1" w:styleId="12">
    <w:name w:val="calendar-head__next-range-btn"/>
    <w:basedOn w:val="6"/>
    <w:qFormat/>
    <w:uiPriority w:val="0"/>
    <w:rPr>
      <w:vanish/>
    </w:rPr>
  </w:style>
  <w:style w:type="character" w:customStyle="1" w:styleId="13">
    <w:name w:val="calendar-head__next-month-btn"/>
    <w:basedOn w:val="6"/>
    <w:qFormat/>
    <w:uiPriority w:val="0"/>
  </w:style>
  <w:style w:type="character" w:customStyle="1" w:styleId="14">
    <w:name w:val="active4"/>
    <w:basedOn w:val="6"/>
    <w:qFormat/>
    <w:uiPriority w:val="0"/>
    <w:rPr>
      <w:color w:val="333333"/>
    </w:rPr>
  </w:style>
  <w:style w:type="character" w:customStyle="1" w:styleId="15">
    <w:name w:val="calendar-head__year-range"/>
    <w:basedOn w:val="6"/>
    <w:uiPriority w:val="0"/>
    <w:rPr>
      <w:vanish/>
    </w:rPr>
  </w:style>
  <w:style w:type="character" w:customStyle="1" w:styleId="16">
    <w:name w:val="hover2"/>
    <w:basedOn w:val="6"/>
    <w:qFormat/>
    <w:uiPriority w:val="0"/>
    <w:rPr>
      <w:color w:val="2F6EA2"/>
    </w:rPr>
  </w:style>
  <w:style w:type="character" w:customStyle="1" w:styleId="17">
    <w:name w:val="calendar-head__prev-range-btn"/>
    <w:basedOn w:val="6"/>
    <w:qFormat/>
    <w:uiPriority w:val="0"/>
    <w:rPr>
      <w:vanish/>
    </w:rPr>
  </w:style>
  <w:style w:type="character" w:customStyle="1" w:styleId="18">
    <w:name w:val="calendar-head__next-year-btn"/>
    <w:basedOn w:val="6"/>
    <w:qFormat/>
    <w:uiPriority w:val="0"/>
  </w:style>
  <w:style w:type="character" w:customStyle="1" w:styleId="19">
    <w:name w:val="页眉 Char"/>
    <w:basedOn w:val="6"/>
    <w:link w:val="3"/>
    <w:qFormat/>
    <w:uiPriority w:val="0"/>
    <w:rPr>
      <w:kern w:val="2"/>
      <w:sz w:val="18"/>
      <w:szCs w:val="18"/>
    </w:rPr>
  </w:style>
  <w:style w:type="character" w:customStyle="1" w:styleId="2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Words>
  <Characters>626</Characters>
  <Lines>5</Lines>
  <Paragraphs>1</Paragraphs>
  <TotalTime>0</TotalTime>
  <ScaleCrop>false</ScaleCrop>
  <LinksUpToDate>false</LinksUpToDate>
  <CharactersWithSpaces>734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2020-10-18T07:21:00Z</dcterms:created>
  <dc:creator>Administrator</dc:creator>
  <cp:lastModifiedBy>♌MR.龙狗</cp:lastModifiedBy>
  <dcterms:modified xsi:type="dcterms:W3CDTF">2020-10-22T10:30:06Z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