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仿宋" w:hAnsi="仿宋" w:eastAsia="仿宋" w:cs="仿宋"/>
          <w:sz w:val="44"/>
          <w:szCs w:val="44"/>
        </w:rPr>
      </w:pPr>
      <w:r>
        <w:rPr>
          <w:rFonts w:hint="eastAsia" w:ascii="仿宋" w:hAnsi="仿宋" w:eastAsia="仿宋" w:cs="仿宋"/>
          <w:sz w:val="44"/>
          <w:szCs w:val="44"/>
        </w:rPr>
        <w:t>江门市</w:t>
      </w:r>
      <w:r>
        <w:rPr>
          <w:rFonts w:hint="eastAsia" w:ascii="仿宋" w:hAnsi="仿宋" w:eastAsia="仿宋" w:cs="仿宋"/>
          <w:sz w:val="44"/>
          <w:szCs w:val="44"/>
          <w:lang w:eastAsia="zh-CN"/>
        </w:rPr>
        <w:t>蓬江</w:t>
      </w:r>
      <w:r>
        <w:rPr>
          <w:rFonts w:hint="eastAsia" w:ascii="仿宋" w:hAnsi="仿宋" w:eastAsia="仿宋" w:cs="仿宋"/>
          <w:sz w:val="44"/>
          <w:szCs w:val="44"/>
        </w:rPr>
        <w:t>区市场监督管理局关于不合格食品核查处置情况的通告</w:t>
      </w:r>
    </w:p>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_GB2312"/>
          <w:sz w:val="28"/>
          <w:szCs w:val="28"/>
        </w:rPr>
        <w:t>20</w:t>
      </w:r>
      <w:r>
        <w:rPr>
          <w:rFonts w:hint="eastAsia" w:ascii="仿宋" w:hAnsi="仿宋" w:eastAsia="仿宋" w:cs="仿宋_GB2312"/>
          <w:sz w:val="28"/>
          <w:szCs w:val="28"/>
          <w:lang w:val="en-US" w:eastAsia="zh-CN"/>
        </w:rPr>
        <w:t>20</w:t>
      </w:r>
      <w:r>
        <w:rPr>
          <w:rFonts w:hint="eastAsia" w:ascii="仿宋" w:hAnsi="仿宋" w:eastAsia="仿宋" w:cs="仿宋_GB2312"/>
          <w:sz w:val="28"/>
          <w:szCs w:val="28"/>
        </w:rPr>
        <w:t>年</w:t>
      </w:r>
      <w:r>
        <w:rPr>
          <w:rFonts w:hint="eastAsia" w:ascii="仿宋" w:hAnsi="仿宋" w:eastAsia="仿宋" w:cs="仿宋_GB2312"/>
          <w:sz w:val="28"/>
          <w:szCs w:val="28"/>
          <w:lang w:val="en-US" w:eastAsia="zh-CN"/>
        </w:rPr>
        <w:t>7</w:t>
      </w:r>
      <w:r>
        <w:rPr>
          <w:rFonts w:hint="eastAsia" w:ascii="仿宋" w:hAnsi="仿宋" w:eastAsia="仿宋" w:cs="仿宋_GB2312"/>
          <w:sz w:val="28"/>
          <w:szCs w:val="28"/>
        </w:rPr>
        <w:t>月</w:t>
      </w:r>
      <w:r>
        <w:rPr>
          <w:rFonts w:hint="eastAsia" w:ascii="仿宋" w:hAnsi="仿宋" w:eastAsia="仿宋" w:cs="仿宋_GB2312"/>
          <w:sz w:val="28"/>
          <w:szCs w:val="28"/>
          <w:lang w:val="en-US" w:eastAsia="zh-CN"/>
        </w:rPr>
        <w:t>21</w:t>
      </w:r>
      <w:r>
        <w:rPr>
          <w:rFonts w:hint="eastAsia" w:ascii="仿宋" w:hAnsi="仿宋" w:eastAsia="仿宋" w:cs="仿宋_GB2312"/>
          <w:sz w:val="28"/>
          <w:szCs w:val="28"/>
        </w:rPr>
        <w:t>日</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lang w:eastAsia="zh-CN"/>
        </w:rPr>
        <w:t>广东省市场</w:t>
      </w:r>
      <w:r>
        <w:rPr>
          <w:rFonts w:hint="eastAsia" w:ascii="仿宋" w:hAnsi="仿宋" w:eastAsia="仿宋" w:cs="仿宋_GB2312"/>
          <w:sz w:val="28"/>
          <w:szCs w:val="28"/>
        </w:rPr>
        <w:t>监督管理局组织食品安全监督抽检，发现我区</w:t>
      </w:r>
      <w:r>
        <w:rPr>
          <w:rFonts w:hint="eastAsia" w:ascii="仿宋" w:hAnsi="仿宋" w:eastAsia="仿宋" w:cs="仿宋_GB2312"/>
          <w:sz w:val="28"/>
          <w:szCs w:val="28"/>
          <w:lang w:eastAsia="zh-CN"/>
        </w:rPr>
        <w:t>一</w:t>
      </w:r>
      <w:r>
        <w:rPr>
          <w:rFonts w:hint="eastAsia" w:ascii="仿宋" w:hAnsi="仿宋" w:eastAsia="仿宋" w:cs="仿宋_GB2312"/>
          <w:sz w:val="28"/>
          <w:szCs w:val="28"/>
        </w:rPr>
        <w:t>家食品</w:t>
      </w:r>
      <w:r>
        <w:rPr>
          <w:rFonts w:hint="eastAsia" w:ascii="仿宋" w:hAnsi="仿宋" w:eastAsia="仿宋" w:cs="仿宋_GB2312"/>
          <w:sz w:val="28"/>
          <w:szCs w:val="28"/>
          <w:lang w:eastAsia="zh-CN"/>
        </w:rPr>
        <w:t>生产</w:t>
      </w:r>
      <w:r>
        <w:rPr>
          <w:rFonts w:hint="eastAsia" w:ascii="仿宋" w:hAnsi="仿宋" w:eastAsia="仿宋" w:cs="仿宋_GB2312"/>
          <w:sz w:val="28"/>
          <w:szCs w:val="28"/>
        </w:rPr>
        <w:t>单位销售的食品不合格，现将不合格食品核查处置情况通告如下：</w:t>
      </w:r>
    </w:p>
    <w:p>
      <w:pPr>
        <w:keepNext w:val="0"/>
        <w:keepLines w:val="0"/>
        <w:pageBreakBefore w:val="0"/>
        <w:widowControl w:val="0"/>
        <w:kinsoku/>
        <w:wordWrap/>
        <w:overflowPunct/>
        <w:topLinePunct w:val="0"/>
        <w:autoSpaceDE/>
        <w:autoSpaceDN/>
        <w:bidi w:val="0"/>
        <w:adjustRightInd/>
        <w:spacing w:line="460" w:lineRule="exact"/>
        <w:ind w:firstLine="600" w:firstLineChars="200"/>
        <w:textAlignment w:val="auto"/>
        <w:rPr>
          <w:rFonts w:hint="eastAsia" w:ascii="仿宋" w:hAnsi="仿宋" w:eastAsia="仿宋" w:cs="微软雅黑"/>
          <w:kern w:val="1"/>
          <w:sz w:val="28"/>
          <w:szCs w:val="28"/>
          <w:lang w:eastAsia="zh-CN"/>
        </w:rPr>
      </w:pPr>
      <w:r>
        <w:rPr>
          <w:rFonts w:hint="eastAsia" w:ascii="仿宋" w:hAnsi="仿宋" w:eastAsia="仿宋" w:cs="Mongolian Baiti"/>
          <w:kern w:val="1"/>
          <w:sz w:val="30"/>
          <w:szCs w:val="30"/>
          <w:lang w:val="en-US" w:eastAsia="zh-CN"/>
        </w:rPr>
        <w:t>菓子町园道趣味造型饼干（生产日期2019-12-1，标称生产</w:t>
      </w:r>
      <w:bookmarkStart w:id="0" w:name="_GoBack"/>
      <w:bookmarkEnd w:id="0"/>
      <w:r>
        <w:rPr>
          <w:rFonts w:hint="eastAsia" w:ascii="仿宋" w:hAnsi="仿宋" w:eastAsia="仿宋" w:cs="Mongolian Baiti"/>
          <w:kern w:val="1"/>
          <w:sz w:val="30"/>
          <w:szCs w:val="30"/>
          <w:lang w:val="en-US" w:eastAsia="zh-CN"/>
        </w:rPr>
        <w:t>者名称：江门一威食品有限公司）</w:t>
      </w:r>
    </w:p>
    <w:p>
      <w:pPr>
        <w:keepNext w:val="0"/>
        <w:keepLines w:val="0"/>
        <w:pageBreakBefore w:val="0"/>
        <w:widowControl w:val="0"/>
        <w:kinsoku/>
        <w:wordWrap/>
        <w:overflowPunct/>
        <w:topLinePunct w:val="0"/>
        <w:autoSpaceDE/>
        <w:autoSpaceDN/>
        <w:bidi w:val="0"/>
        <w:adjustRightInd/>
        <w:snapToGrid w:val="0"/>
        <w:spacing w:after="156" w:afterLines="50" w:line="460" w:lineRule="exact"/>
        <w:ind w:firstLine="560" w:firstLineChars="200"/>
        <w:jc w:val="left"/>
        <w:textAlignment w:val="auto"/>
        <w:rPr>
          <w:rFonts w:hint="eastAsia" w:ascii="仿宋" w:hAnsi="仿宋" w:eastAsia="仿宋" w:cs="仿宋_GB2312"/>
          <w:sz w:val="28"/>
          <w:szCs w:val="28"/>
          <w:lang w:eastAsia="zh-CN"/>
        </w:rPr>
      </w:pPr>
      <w:r>
        <w:rPr>
          <w:rFonts w:hint="eastAsia" w:ascii="仿宋" w:hAnsi="仿宋" w:eastAsia="仿宋" w:cs="仿宋_GB2312"/>
          <w:sz w:val="28"/>
          <w:szCs w:val="28"/>
          <w:lang w:eastAsia="zh-CN"/>
        </w:rPr>
        <w:t>（一）2020年4月24日，我局收到广东省食品检验所（广东省酒类检测中心）出具的《检验报告》（No:20J0803012），报告称经抽样检验，江门一威食品有限公司生产的菓子町园道趣喷味造型饼干（生产日期：2019年12月1日）过氧化值（以脂肪计）项目不符合GB 7100-2015《食品安全国家标准 饼干》要求，检验结论为不合格。</w:t>
      </w:r>
    </w:p>
    <w:p>
      <w:pPr>
        <w:keepNext w:val="0"/>
        <w:keepLines w:val="0"/>
        <w:pageBreakBefore w:val="0"/>
        <w:widowControl w:val="0"/>
        <w:kinsoku/>
        <w:wordWrap/>
        <w:overflowPunct/>
        <w:topLinePunct w:val="0"/>
        <w:autoSpaceDE/>
        <w:autoSpaceDN/>
        <w:bidi w:val="0"/>
        <w:adjustRightInd/>
        <w:spacing w:line="460" w:lineRule="exact"/>
        <w:ind w:firstLine="560" w:firstLineChars="200"/>
        <w:jc w:val="left"/>
        <w:textAlignment w:val="auto"/>
        <w:rPr>
          <w:rFonts w:hint="eastAsia" w:ascii="仿宋" w:hAnsi="仿宋" w:eastAsia="仿宋" w:cs="微软雅黑"/>
          <w:kern w:val="1"/>
          <w:sz w:val="28"/>
          <w:szCs w:val="28"/>
          <w:lang w:eastAsia="zh-CN"/>
        </w:rPr>
      </w:pPr>
      <w:r>
        <w:rPr>
          <w:rFonts w:hint="eastAsia" w:ascii="仿宋" w:hAnsi="仿宋" w:eastAsia="仿宋" w:cs="微软雅黑"/>
          <w:kern w:val="1"/>
          <w:sz w:val="28"/>
          <w:szCs w:val="28"/>
          <w:lang w:eastAsia="zh-CN"/>
        </w:rPr>
        <w:t>（二）2020年4月27日，我局执法人员到当事人经营场所送达上述《检验报告》，现场检查未发现上述不合格批次的菓子町园道趣味造型饼干待售和库存。当事人生产上述不合格批次菓子町园道趣味造型饼干的行为，涉嫌违反《中华人民共和国食品安全法》第三十四条第（十三）项的规定，我局于2020年4月27日予以立案调查。</w:t>
      </w:r>
    </w:p>
    <w:p>
      <w:pPr>
        <w:keepNext w:val="0"/>
        <w:keepLines w:val="0"/>
        <w:pageBreakBefore w:val="0"/>
        <w:widowControl w:val="0"/>
        <w:kinsoku/>
        <w:wordWrap/>
        <w:overflowPunct/>
        <w:topLinePunct w:val="0"/>
        <w:autoSpaceDE/>
        <w:autoSpaceDN/>
        <w:bidi w:val="0"/>
        <w:adjustRightInd/>
        <w:spacing w:line="460" w:lineRule="exact"/>
        <w:ind w:firstLine="560" w:firstLineChars="200"/>
        <w:jc w:val="left"/>
        <w:textAlignment w:val="auto"/>
        <w:rPr>
          <w:rFonts w:hint="eastAsia"/>
          <w:sz w:val="32"/>
          <w:szCs w:val="32"/>
        </w:rPr>
      </w:pPr>
      <w:r>
        <w:rPr>
          <w:rFonts w:hint="eastAsia" w:ascii="仿宋" w:hAnsi="仿宋" w:eastAsia="仿宋" w:cs="仿宋_GB2312"/>
          <w:sz w:val="28"/>
          <w:szCs w:val="28"/>
        </w:rPr>
        <w:t>（三）当事人</w:t>
      </w:r>
      <w:r>
        <w:rPr>
          <w:rFonts w:hint="eastAsia" w:ascii="仿宋" w:hAnsi="仿宋" w:eastAsia="仿宋" w:cs="仿宋_GB2312"/>
          <w:sz w:val="28"/>
          <w:szCs w:val="28"/>
          <w:lang w:eastAsia="zh-CN"/>
        </w:rPr>
        <w:t>生产</w:t>
      </w:r>
      <w:r>
        <w:rPr>
          <w:rFonts w:hint="eastAsia" w:ascii="仿宋" w:hAnsi="仿宋" w:eastAsia="仿宋" w:cs="仿宋_GB2312"/>
          <w:sz w:val="28"/>
          <w:szCs w:val="28"/>
        </w:rPr>
        <w:t>的菓子町园道趣味造型饼干氧化值（以脂肪计）含量超过食品安全国家标准限量的行为，违反了《中华人民共和国食品安全法》第三十四条第（十三）项</w:t>
      </w:r>
      <w:r>
        <w:rPr>
          <w:rFonts w:hint="eastAsia" w:ascii="仿宋" w:hAnsi="仿宋" w:eastAsia="仿宋" w:cs="仿宋"/>
          <w:bCs/>
          <w:sz w:val="30"/>
          <w:szCs w:val="30"/>
        </w:rPr>
        <w:t>项</w:t>
      </w:r>
      <w:r>
        <w:rPr>
          <w:rFonts w:hint="eastAsia" w:ascii="仿宋" w:hAnsi="仿宋" w:eastAsia="仿宋" w:cs="仿宋_GB2312"/>
          <w:sz w:val="28"/>
          <w:szCs w:val="28"/>
          <w:lang w:eastAsia="zh-CN"/>
        </w:rPr>
        <w:t>的规定，</w:t>
      </w:r>
      <w:r>
        <w:rPr>
          <w:rFonts w:hint="eastAsia" w:ascii="仿宋" w:hAnsi="仿宋" w:eastAsia="仿宋" w:cs="仿宋"/>
          <w:bCs/>
          <w:sz w:val="30"/>
          <w:szCs w:val="30"/>
        </w:rPr>
        <w:t>根据《中华人民共和国食品安全法》第一百二十四条第一款、第二款和《中华人民共和国行政处罚法》第二十七条第一款第（四）项</w:t>
      </w:r>
      <w:r>
        <w:rPr>
          <w:rFonts w:hint="eastAsia" w:ascii="仿宋" w:hAnsi="仿宋" w:eastAsia="仿宋" w:cs="Mongolian Baiti"/>
          <w:kern w:val="1"/>
          <w:sz w:val="30"/>
          <w:szCs w:val="30"/>
          <w:lang w:val="en-US" w:eastAsia="zh-CN"/>
        </w:rPr>
        <w:t>，决定对对当事人减轻处罚如下：1、没收违法所得壹佰零伍元（￥105元）；2、处以罚款伍仟元（￥5000元）；合计：伍仟壹佰零伍元（￥5105元）</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_GB2312"/>
          <w:sz w:val="28"/>
          <w:szCs w:val="28"/>
        </w:rPr>
      </w:pPr>
    </w:p>
    <w:p>
      <w:pPr>
        <w:keepNext w:val="0"/>
        <w:keepLines w:val="0"/>
        <w:pageBreakBefore w:val="0"/>
        <w:widowControl w:val="0"/>
        <w:kinsoku/>
        <w:wordWrap/>
        <w:overflowPunct/>
        <w:topLinePunct w:val="0"/>
        <w:autoSpaceDE/>
        <w:autoSpaceDN/>
        <w:bidi w:val="0"/>
        <w:adjustRightInd/>
        <w:spacing w:line="460" w:lineRule="exact"/>
        <w:ind w:firstLine="4200" w:firstLineChars="1500"/>
        <w:textAlignment w:val="auto"/>
        <w:rPr>
          <w:rFonts w:hint="eastAsia" w:ascii="仿宋" w:hAnsi="仿宋" w:eastAsia="仿宋" w:cs="仿宋_GB2312"/>
          <w:sz w:val="28"/>
          <w:szCs w:val="28"/>
        </w:rPr>
      </w:pPr>
      <w:r>
        <w:rPr>
          <w:rFonts w:hint="eastAsia" w:ascii="仿宋" w:hAnsi="仿宋" w:eastAsia="仿宋" w:cs="仿宋_GB2312"/>
          <w:sz w:val="28"/>
          <w:szCs w:val="28"/>
        </w:rPr>
        <w:t>江门市</w:t>
      </w:r>
      <w:r>
        <w:rPr>
          <w:rFonts w:hint="eastAsia" w:ascii="仿宋" w:hAnsi="仿宋" w:eastAsia="仿宋" w:cs="仿宋_GB2312"/>
          <w:sz w:val="28"/>
          <w:szCs w:val="28"/>
          <w:lang w:eastAsia="zh-CN"/>
        </w:rPr>
        <w:t>蓬江</w:t>
      </w:r>
      <w:r>
        <w:rPr>
          <w:rFonts w:hint="eastAsia" w:ascii="仿宋" w:hAnsi="仿宋" w:eastAsia="仿宋" w:cs="仿宋_GB2312"/>
          <w:sz w:val="28"/>
          <w:szCs w:val="28"/>
        </w:rPr>
        <w:t>区市场监督管理局</w:t>
      </w:r>
    </w:p>
    <w:p>
      <w:pPr>
        <w:keepNext w:val="0"/>
        <w:keepLines w:val="0"/>
        <w:pageBreakBefore w:val="0"/>
        <w:widowControl w:val="0"/>
        <w:kinsoku/>
        <w:wordWrap/>
        <w:overflowPunct/>
        <w:topLinePunct w:val="0"/>
        <w:autoSpaceDE/>
        <w:autoSpaceDN/>
        <w:bidi w:val="0"/>
        <w:adjustRightInd/>
        <w:spacing w:line="460" w:lineRule="exact"/>
        <w:ind w:firstLine="5320" w:firstLineChars="1900"/>
        <w:textAlignment w:val="auto"/>
        <w:rPr>
          <w:rFonts w:hint="eastAsia" w:ascii="仿宋" w:hAnsi="仿宋" w:eastAsia="仿宋" w:cs="仿宋_GB2312"/>
          <w:sz w:val="28"/>
          <w:szCs w:val="28"/>
        </w:rPr>
      </w:pPr>
      <w:r>
        <w:rPr>
          <w:rFonts w:hint="eastAsia" w:ascii="仿宋" w:hAnsi="仿宋" w:eastAsia="仿宋" w:cs="仿宋_GB2312"/>
          <w:sz w:val="28"/>
          <w:szCs w:val="28"/>
        </w:rPr>
        <w:t>20</w:t>
      </w:r>
      <w:r>
        <w:rPr>
          <w:rFonts w:hint="eastAsia" w:ascii="仿宋" w:hAnsi="仿宋" w:eastAsia="仿宋" w:cs="仿宋_GB2312"/>
          <w:sz w:val="28"/>
          <w:szCs w:val="28"/>
          <w:lang w:val="en-US" w:eastAsia="zh-CN"/>
        </w:rPr>
        <w:t>20</w:t>
      </w:r>
      <w:r>
        <w:rPr>
          <w:rFonts w:hint="eastAsia" w:ascii="仿宋" w:hAnsi="仿宋" w:eastAsia="仿宋" w:cs="仿宋_GB2312"/>
          <w:sz w:val="28"/>
          <w:szCs w:val="28"/>
        </w:rPr>
        <w:t>年</w:t>
      </w:r>
      <w:r>
        <w:rPr>
          <w:rFonts w:hint="eastAsia" w:ascii="仿宋" w:hAnsi="仿宋" w:eastAsia="仿宋" w:cs="仿宋_GB2312"/>
          <w:sz w:val="28"/>
          <w:szCs w:val="28"/>
          <w:lang w:val="en-US" w:eastAsia="zh-CN"/>
        </w:rPr>
        <w:t>7</w:t>
      </w:r>
      <w:r>
        <w:rPr>
          <w:rFonts w:hint="eastAsia" w:ascii="仿宋" w:hAnsi="仿宋" w:eastAsia="仿宋" w:cs="仿宋_GB2312"/>
          <w:sz w:val="28"/>
          <w:szCs w:val="28"/>
        </w:rPr>
        <w:t>月</w:t>
      </w:r>
      <w:r>
        <w:rPr>
          <w:rFonts w:hint="eastAsia" w:ascii="仿宋" w:hAnsi="仿宋" w:eastAsia="仿宋" w:cs="仿宋_GB2312"/>
          <w:sz w:val="28"/>
          <w:szCs w:val="28"/>
          <w:lang w:val="en-US" w:eastAsia="zh-CN"/>
        </w:rPr>
        <w:t>21</w:t>
      </w:r>
      <w:r>
        <w:rPr>
          <w:rFonts w:hint="eastAsia" w:ascii="仿宋" w:hAnsi="仿宋" w:eastAsia="仿宋" w:cs="仿宋_GB2312"/>
          <w:sz w:val="28"/>
          <w:szCs w:val="28"/>
        </w:rPr>
        <w:t>日</w:t>
      </w:r>
    </w:p>
    <w:p>
      <w:pPr>
        <w:keepNext w:val="0"/>
        <w:keepLines w:val="0"/>
        <w:pageBreakBefore w:val="0"/>
        <w:widowControl w:val="0"/>
        <w:kinsoku/>
        <w:wordWrap/>
        <w:overflowPunct/>
        <w:topLinePunct w:val="0"/>
        <w:autoSpaceDE/>
        <w:autoSpaceDN/>
        <w:bidi w:val="0"/>
        <w:adjustRightInd/>
        <w:spacing w:line="460" w:lineRule="exact"/>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ongolian Baiti">
    <w:panose1 w:val="03000500000000000000"/>
    <w:charset w:val="00"/>
    <w:family w:val="script"/>
    <w:pitch w:val="default"/>
    <w:sig w:usb0="80000023" w:usb1="00000000" w:usb2="0002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A4995"/>
    <w:rsid w:val="019133F9"/>
    <w:rsid w:val="03353E67"/>
    <w:rsid w:val="14270ACF"/>
    <w:rsid w:val="15D81FBE"/>
    <w:rsid w:val="19DA4995"/>
    <w:rsid w:val="2CD31463"/>
    <w:rsid w:val="315C2970"/>
    <w:rsid w:val="5E692F61"/>
    <w:rsid w:val="62640429"/>
    <w:rsid w:val="7B7F258D"/>
    <w:rsid w:val="7E752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333333"/>
      <w:u w:val="none"/>
    </w:rPr>
  </w:style>
  <w:style w:type="character" w:styleId="6">
    <w:name w:val="Hyperlink"/>
    <w:basedOn w:val="4"/>
    <w:qFormat/>
    <w:uiPriority w:val="0"/>
    <w:rPr>
      <w:color w:val="333333"/>
      <w:u w:val="none"/>
    </w:rPr>
  </w:style>
  <w:style w:type="character" w:styleId="7">
    <w:name w:val="HTML Code"/>
    <w:basedOn w:val="4"/>
    <w:uiPriority w:val="0"/>
    <w:rPr>
      <w:rFonts w:ascii="Courier New" w:hAnsi="Courier New"/>
      <w:sz w:val="20"/>
    </w:rPr>
  </w:style>
  <w:style w:type="paragraph" w:customStyle="1" w:styleId="8">
    <w:name w:val="列出段落1"/>
    <w:basedOn w:val="1"/>
    <w:qFormat/>
    <w:uiPriority w:val="34"/>
    <w:pPr>
      <w:ind w:firstLine="420" w:firstLineChars="200"/>
    </w:pPr>
  </w:style>
  <w:style w:type="character" w:customStyle="1" w:styleId="9">
    <w:name w:val="calendar-head__text-display"/>
    <w:basedOn w:val="4"/>
    <w:uiPriority w:val="0"/>
    <w:rPr>
      <w:vanish/>
    </w:rPr>
  </w:style>
  <w:style w:type="character" w:customStyle="1" w:styleId="10">
    <w:name w:val="calendar-head__next-range-btn"/>
    <w:basedOn w:val="4"/>
    <w:uiPriority w:val="0"/>
    <w:rPr>
      <w:vanish/>
    </w:rPr>
  </w:style>
  <w:style w:type="character" w:customStyle="1" w:styleId="11">
    <w:name w:val="calendar-head__next-month-btn"/>
    <w:basedOn w:val="4"/>
    <w:uiPriority w:val="0"/>
  </w:style>
  <w:style w:type="character" w:customStyle="1" w:styleId="12">
    <w:name w:val="active4"/>
    <w:basedOn w:val="4"/>
    <w:uiPriority w:val="0"/>
    <w:rPr>
      <w:color w:val="333333"/>
    </w:rPr>
  </w:style>
  <w:style w:type="character" w:customStyle="1" w:styleId="13">
    <w:name w:val="calendar-head__year-range"/>
    <w:basedOn w:val="4"/>
    <w:uiPriority w:val="0"/>
    <w:rPr>
      <w:vanish/>
    </w:rPr>
  </w:style>
  <w:style w:type="character" w:customStyle="1" w:styleId="14">
    <w:name w:val="hover2"/>
    <w:basedOn w:val="4"/>
    <w:uiPriority w:val="0"/>
    <w:rPr>
      <w:color w:val="2F6EA2"/>
    </w:rPr>
  </w:style>
  <w:style w:type="character" w:customStyle="1" w:styleId="15">
    <w:name w:val="calendar-head__prev-range-btn"/>
    <w:basedOn w:val="4"/>
    <w:uiPriority w:val="0"/>
    <w:rPr>
      <w:vanish/>
    </w:rPr>
  </w:style>
  <w:style w:type="character" w:customStyle="1" w:styleId="16">
    <w:name w:val="calendar-head__next-year-btn"/>
    <w:basedOn w:val="4"/>
    <w:uiPriority w:val="0"/>
  </w:style>
  <w:style w:type="paragraph" w:customStyle="1" w:styleId="17">
    <w:name w:val="Char"/>
    <w:basedOn w:val="1"/>
    <w:uiPriority w:val="0"/>
    <w:rPr>
      <w:rFonts w:ascii="Times New Roman" w:hAnsi="Times New Roman"/>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2020-10-17T01:28:00Z</dcterms:created>
  <dc:creator>Administrator</dc:creator>
  <cp:lastModifiedBy>Administrator</cp:lastModifiedBy>
  <dcterms:modified xsi:type="dcterms:W3CDTF">2020-10-17T10:27:26Z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