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江门市</w:t>
      </w:r>
      <w:r>
        <w:rPr>
          <w:rFonts w:hint="eastAsia"/>
          <w:sz w:val="44"/>
          <w:szCs w:val="44"/>
          <w:lang w:eastAsia="zh-CN"/>
        </w:rPr>
        <w:t>蓬江</w:t>
      </w:r>
      <w:r>
        <w:rPr>
          <w:rFonts w:hint="eastAsia"/>
          <w:sz w:val="44"/>
          <w:szCs w:val="44"/>
        </w:rPr>
        <w:t>区市场监督管理局关于不合格食品核查处置情况的通告</w:t>
      </w:r>
    </w:p>
    <w:p>
      <w:pPr>
        <w:jc w:val="center"/>
        <w:rPr>
          <w:sz w:val="32"/>
          <w:szCs w:val="32"/>
        </w:rPr>
      </w:pPr>
      <w:r>
        <w:rPr>
          <w:rFonts w:hint="eastAsia"/>
          <w:sz w:val="32"/>
          <w:szCs w:val="32"/>
        </w:rPr>
        <w:t>（</w:t>
      </w:r>
      <w:r>
        <w:rPr>
          <w:rFonts w:hint="eastAsia"/>
          <w:sz w:val="32"/>
          <w:szCs w:val="32"/>
          <w:lang w:eastAsia="zh-CN"/>
        </w:rPr>
        <w:t>2020年7月9日</w:t>
      </w:r>
      <w:r>
        <w:rPr>
          <w:rFonts w:hint="eastAsia"/>
          <w:sz w:val="32"/>
          <w:szCs w:val="32"/>
        </w:rPr>
        <w:t>）</w:t>
      </w:r>
    </w:p>
    <w:p>
      <w:pPr>
        <w:jc w:val="both"/>
        <w:rPr>
          <w:rFonts w:hint="eastAsia"/>
          <w:sz w:val="32"/>
          <w:szCs w:val="32"/>
        </w:rPr>
      </w:pPr>
      <w:r>
        <w:rPr>
          <w:rFonts w:hint="eastAsia"/>
          <w:sz w:val="32"/>
          <w:szCs w:val="32"/>
        </w:rPr>
        <w:t>江门市蓬江区市场监督管理局组织食品安全监督抽检，发现我区</w:t>
      </w:r>
      <w:r>
        <w:rPr>
          <w:rFonts w:hint="eastAsia"/>
          <w:sz w:val="32"/>
          <w:szCs w:val="32"/>
          <w:lang w:eastAsia="zh-CN"/>
        </w:rPr>
        <w:t>一</w:t>
      </w:r>
      <w:r>
        <w:rPr>
          <w:rFonts w:hint="eastAsia"/>
          <w:sz w:val="32"/>
          <w:szCs w:val="32"/>
        </w:rPr>
        <w:t>家食品经营单位销售的食品不合格，现将不合格食品核查处置情况通告如下：</w:t>
      </w:r>
    </w:p>
    <w:p>
      <w:pPr>
        <w:jc w:val="both"/>
        <w:rPr>
          <w:rFonts w:hint="eastAsia"/>
          <w:sz w:val="32"/>
          <w:szCs w:val="32"/>
        </w:rPr>
      </w:pPr>
      <w:r>
        <w:rPr>
          <w:rFonts w:hint="eastAsia"/>
          <w:sz w:val="32"/>
          <w:szCs w:val="32"/>
        </w:rPr>
        <w:t>一、</w:t>
      </w:r>
      <w:r>
        <w:rPr>
          <w:rFonts w:hint="eastAsia"/>
          <w:sz w:val="32"/>
          <w:szCs w:val="32"/>
          <w:lang w:eastAsia="zh-CN"/>
        </w:rPr>
        <w:t>泥孟鱼</w:t>
      </w:r>
      <w:r>
        <w:rPr>
          <w:rFonts w:hint="eastAsia"/>
          <w:sz w:val="32"/>
          <w:szCs w:val="32"/>
        </w:rPr>
        <w:t>（购进日期：20</w:t>
      </w:r>
      <w:r>
        <w:rPr>
          <w:rFonts w:hint="eastAsia"/>
          <w:sz w:val="32"/>
          <w:szCs w:val="32"/>
          <w:lang w:val="en-US" w:eastAsia="zh-CN"/>
        </w:rPr>
        <w:t>20</w:t>
      </w:r>
      <w:r>
        <w:rPr>
          <w:rFonts w:hint="eastAsia"/>
          <w:sz w:val="32"/>
          <w:szCs w:val="32"/>
        </w:rPr>
        <w:t>-</w:t>
      </w:r>
      <w:r>
        <w:rPr>
          <w:rFonts w:hint="eastAsia"/>
          <w:sz w:val="32"/>
          <w:szCs w:val="32"/>
          <w:lang w:val="en-US" w:eastAsia="zh-CN"/>
        </w:rPr>
        <w:t>3</w:t>
      </w:r>
      <w:r>
        <w:rPr>
          <w:rFonts w:hint="eastAsia"/>
          <w:sz w:val="32"/>
          <w:szCs w:val="32"/>
        </w:rPr>
        <w:t>-</w:t>
      </w:r>
      <w:r>
        <w:rPr>
          <w:rFonts w:hint="eastAsia"/>
          <w:sz w:val="32"/>
          <w:szCs w:val="32"/>
          <w:lang w:val="en-US" w:eastAsia="zh-CN"/>
        </w:rPr>
        <w:t>25</w:t>
      </w:r>
      <w:r>
        <w:rPr>
          <w:rFonts w:hint="eastAsia"/>
          <w:sz w:val="32"/>
          <w:szCs w:val="32"/>
        </w:rPr>
        <w:t>）</w:t>
      </w:r>
    </w:p>
    <w:p>
      <w:pPr>
        <w:jc w:val="both"/>
        <w:rPr>
          <w:rFonts w:hint="eastAsia"/>
          <w:sz w:val="32"/>
          <w:szCs w:val="32"/>
          <w:lang w:val="en-US" w:eastAsia="zh-CN"/>
        </w:rPr>
      </w:pPr>
      <w:r>
        <w:rPr>
          <w:rFonts w:hint="eastAsia"/>
          <w:sz w:val="32"/>
          <w:szCs w:val="32"/>
        </w:rPr>
        <w:t>（一）2020年3月25日，江门市蓬江区市场监督管理局委托广东省绿色产品认证检测中心有限公司对当事人江门市蓬江区大昌超市有限公司经营的</w:t>
      </w:r>
      <w:r>
        <w:rPr>
          <w:rFonts w:hint="eastAsia"/>
          <w:sz w:val="32"/>
          <w:szCs w:val="32"/>
          <w:lang w:eastAsia="zh-CN"/>
        </w:rPr>
        <w:t>泥孟鱼</w:t>
      </w:r>
      <w:r>
        <w:rPr>
          <w:rFonts w:hint="eastAsia"/>
          <w:sz w:val="32"/>
          <w:szCs w:val="32"/>
        </w:rPr>
        <w:t>（购进日期：20</w:t>
      </w:r>
      <w:r>
        <w:rPr>
          <w:rFonts w:hint="eastAsia"/>
          <w:sz w:val="32"/>
          <w:szCs w:val="32"/>
          <w:lang w:val="en-US" w:eastAsia="zh-CN"/>
        </w:rPr>
        <w:t>20</w:t>
      </w:r>
      <w:r>
        <w:rPr>
          <w:rFonts w:hint="eastAsia"/>
          <w:sz w:val="32"/>
          <w:szCs w:val="32"/>
        </w:rPr>
        <w:t>-</w:t>
      </w:r>
      <w:r>
        <w:rPr>
          <w:rFonts w:hint="eastAsia"/>
          <w:sz w:val="32"/>
          <w:szCs w:val="32"/>
          <w:lang w:val="en-US" w:eastAsia="zh-CN"/>
        </w:rPr>
        <w:t>3</w:t>
      </w:r>
      <w:r>
        <w:rPr>
          <w:rFonts w:hint="eastAsia"/>
          <w:sz w:val="32"/>
          <w:szCs w:val="32"/>
        </w:rPr>
        <w:t>-</w:t>
      </w:r>
      <w:r>
        <w:rPr>
          <w:rFonts w:hint="eastAsia"/>
          <w:sz w:val="32"/>
          <w:szCs w:val="32"/>
          <w:lang w:val="en-US" w:eastAsia="zh-CN"/>
        </w:rPr>
        <w:t>25）</w:t>
      </w:r>
      <w:r>
        <w:rPr>
          <w:rFonts w:hint="eastAsia"/>
          <w:sz w:val="32"/>
          <w:szCs w:val="32"/>
        </w:rPr>
        <w:t>进行抽样检验，样品数量为</w:t>
      </w:r>
      <w:r>
        <w:rPr>
          <w:rFonts w:hint="eastAsia"/>
          <w:sz w:val="32"/>
          <w:szCs w:val="32"/>
          <w:lang w:val="en-US" w:eastAsia="zh-CN"/>
        </w:rPr>
        <w:t>0.624kg</w:t>
      </w:r>
      <w:r>
        <w:rPr>
          <w:rFonts w:hint="eastAsia"/>
          <w:sz w:val="32"/>
          <w:szCs w:val="32"/>
        </w:rPr>
        <w:t>。</w:t>
      </w:r>
      <w:r>
        <w:rPr>
          <w:rFonts w:hint="eastAsia"/>
          <w:sz w:val="32"/>
          <w:szCs w:val="32"/>
          <w:lang w:val="en-US" w:eastAsia="zh-CN"/>
        </w:rPr>
        <w:t>经抽样检验，呋喃西林代谢物不符合农业农村部公告第250号的规定，检验结论为不合格。</w:t>
      </w:r>
    </w:p>
    <w:p>
      <w:pPr>
        <w:jc w:val="both"/>
        <w:rPr>
          <w:rFonts w:hint="eastAsia" w:eastAsia="宋体"/>
          <w:sz w:val="32"/>
          <w:szCs w:val="32"/>
          <w:lang w:eastAsia="zh-CN"/>
        </w:rPr>
      </w:pPr>
      <w:r>
        <w:rPr>
          <w:rFonts w:hint="eastAsia"/>
          <w:sz w:val="32"/>
          <w:szCs w:val="32"/>
        </w:rPr>
        <w:t>（二）我局执法人员于2020年4月14日对当事人的经营场所进行执法检查，现场检查未发现涉案批次的</w:t>
      </w:r>
      <w:r>
        <w:rPr>
          <w:rFonts w:hint="eastAsia"/>
          <w:sz w:val="32"/>
          <w:szCs w:val="32"/>
          <w:lang w:eastAsia="zh-CN"/>
        </w:rPr>
        <w:t>泥孟鱼</w:t>
      </w:r>
      <w:r>
        <w:rPr>
          <w:rFonts w:hint="eastAsia"/>
          <w:sz w:val="32"/>
          <w:szCs w:val="32"/>
        </w:rPr>
        <w:t>待售和库存。当事人销售不符合食品安全国家标准的食用农产品的行为，涉嫌违反《食用农产品市场销售质量安全监督管理办法》第二十五条第（二）项的规定，我局于</w:t>
      </w:r>
      <w:r>
        <w:rPr>
          <w:rFonts w:hint="eastAsia"/>
          <w:sz w:val="32"/>
          <w:szCs w:val="32"/>
          <w:lang w:eastAsia="zh-CN"/>
        </w:rPr>
        <w:t>同日</w:t>
      </w:r>
      <w:r>
        <w:rPr>
          <w:rFonts w:hint="eastAsia"/>
          <w:sz w:val="32"/>
          <w:szCs w:val="32"/>
        </w:rPr>
        <w:t>依法对当事人予以立案调查</w:t>
      </w:r>
      <w:r>
        <w:rPr>
          <w:rFonts w:hint="eastAsia"/>
          <w:sz w:val="32"/>
          <w:szCs w:val="32"/>
          <w:lang w:eastAsia="zh-CN"/>
        </w:rPr>
        <w:t>。</w:t>
      </w:r>
    </w:p>
    <w:p>
      <w:pPr>
        <w:jc w:val="both"/>
        <w:rPr>
          <w:rFonts w:hint="eastAsia" w:eastAsia="宋体"/>
          <w:sz w:val="32"/>
          <w:szCs w:val="32"/>
          <w:lang w:eastAsia="zh-CN"/>
        </w:rPr>
      </w:pPr>
      <w:r>
        <w:rPr>
          <w:rFonts w:hint="eastAsia"/>
          <w:sz w:val="32"/>
          <w:szCs w:val="32"/>
        </w:rPr>
        <w:t>（三）当事人销售呋喃西林代谢物不符合农业农村部公告第250号规定的泥孟鱼的行为，涉嫌构成销售有毒、有害食品罪，</w:t>
      </w:r>
      <w:bookmarkStart w:id="0" w:name="_GoBack"/>
      <w:bookmarkEnd w:id="0"/>
      <w:r>
        <w:rPr>
          <w:rFonts w:hint="eastAsia"/>
          <w:sz w:val="32"/>
          <w:szCs w:val="32"/>
        </w:rPr>
        <w:t>根据《中华人民共和国行政处罚法》第二十二条、《行政执法机关移送涉嫌犯罪案件的规定》第三条的规定，</w:t>
      </w:r>
      <w:r>
        <w:rPr>
          <w:rFonts w:hint="eastAsia"/>
          <w:sz w:val="32"/>
          <w:szCs w:val="32"/>
          <w:lang w:eastAsia="zh-CN"/>
        </w:rPr>
        <w:t>决定</w:t>
      </w:r>
      <w:r>
        <w:rPr>
          <w:rFonts w:hint="eastAsia"/>
          <w:sz w:val="32"/>
          <w:szCs w:val="32"/>
        </w:rPr>
        <w:t>移送公安机关处理（涉嫌犯罪案件移送书</w:t>
      </w:r>
      <w:r>
        <w:rPr>
          <w:rFonts w:hint="eastAsia"/>
          <w:sz w:val="32"/>
          <w:szCs w:val="32"/>
          <w:lang w:eastAsia="zh-CN"/>
        </w:rPr>
        <w:t>编号：蓬江市监罪移〔2020〕第20号</w:t>
      </w:r>
      <w:r>
        <w:rPr>
          <w:rFonts w:hint="eastAsia"/>
          <w:sz w:val="32"/>
          <w:szCs w:val="32"/>
        </w:rPr>
        <w:t>）</w:t>
      </w:r>
      <w:r>
        <w:rPr>
          <w:rFonts w:hint="eastAsia"/>
          <w:sz w:val="32"/>
          <w:szCs w:val="32"/>
          <w:lang w:eastAsia="zh-CN"/>
        </w:rPr>
        <w:t>。</w:t>
      </w:r>
    </w:p>
    <w:p>
      <w:pPr>
        <w:jc w:val="both"/>
        <w:rPr>
          <w:rFonts w:hint="eastAsia"/>
          <w:sz w:val="32"/>
          <w:szCs w:val="32"/>
        </w:rPr>
      </w:pPr>
    </w:p>
    <w:p>
      <w:pPr>
        <w:jc w:val="both"/>
        <w:rPr>
          <w:rFonts w:hint="eastAsia"/>
          <w:sz w:val="32"/>
          <w:szCs w:val="32"/>
        </w:rPr>
      </w:pPr>
    </w:p>
    <w:p>
      <w:pPr>
        <w:ind w:firstLine="3520" w:firstLineChars="1100"/>
        <w:jc w:val="both"/>
        <w:rPr>
          <w:sz w:val="32"/>
          <w:szCs w:val="32"/>
        </w:rPr>
      </w:pPr>
      <w:r>
        <w:rPr>
          <w:rFonts w:hint="eastAsia"/>
          <w:sz w:val="32"/>
          <w:szCs w:val="32"/>
        </w:rPr>
        <w:t>江门市</w:t>
      </w:r>
      <w:r>
        <w:rPr>
          <w:rFonts w:hint="eastAsia"/>
          <w:sz w:val="32"/>
          <w:szCs w:val="32"/>
          <w:lang w:eastAsia="zh-CN"/>
        </w:rPr>
        <w:t>蓬江</w:t>
      </w:r>
      <w:r>
        <w:rPr>
          <w:rFonts w:hint="eastAsia"/>
          <w:sz w:val="32"/>
          <w:szCs w:val="32"/>
        </w:rPr>
        <w:t>区市场监督管理局</w:t>
      </w:r>
    </w:p>
    <w:p>
      <w:pPr>
        <w:ind w:firstLine="4480" w:firstLineChars="1400"/>
        <w:jc w:val="both"/>
        <w:rPr>
          <w:rFonts w:hint="eastAsia" w:eastAsia="宋体"/>
          <w:sz w:val="32"/>
          <w:szCs w:val="32"/>
          <w:lang w:eastAsia="zh-CN"/>
        </w:rPr>
      </w:pPr>
      <w:r>
        <w:rPr>
          <w:rFonts w:hint="eastAsia"/>
          <w:sz w:val="32"/>
          <w:szCs w:val="32"/>
          <w:lang w:eastAsia="zh-CN"/>
        </w:rPr>
        <w:t>2020年7月9日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10F97EE8"/>
    <w:rsid w:val="155B4A4A"/>
    <w:rsid w:val="19DA4995"/>
    <w:rsid w:val="700F5EB2"/>
    <w:rsid w:val="710C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qFormat/>
    <w:uiPriority w:val="0"/>
    <w:rPr>
      <w:vanish/>
    </w:rPr>
  </w:style>
  <w:style w:type="character" w:customStyle="1" w:styleId="11">
    <w:name w:val="calendar-head__next-month-btn"/>
    <w:basedOn w:val="4"/>
    <w:qFormat/>
    <w:uiPriority w:val="0"/>
  </w:style>
  <w:style w:type="character" w:customStyle="1" w:styleId="12">
    <w:name w:val="active4"/>
    <w:basedOn w:val="4"/>
    <w:qFormat/>
    <w:uiPriority w:val="0"/>
    <w:rPr>
      <w:color w:val="333333"/>
    </w:rPr>
  </w:style>
  <w:style w:type="character" w:customStyle="1" w:styleId="13">
    <w:name w:val="calendar-head__year-range"/>
    <w:basedOn w:val="4"/>
    <w:qFormat/>
    <w:uiPriority w:val="0"/>
    <w:rPr>
      <w:vanish/>
    </w:rPr>
  </w:style>
  <w:style w:type="character" w:customStyle="1" w:styleId="14">
    <w:name w:val="hover2"/>
    <w:basedOn w:val="4"/>
    <w:qFormat/>
    <w:uiPriority w:val="0"/>
    <w:rPr>
      <w:color w:val="2F6EA2"/>
    </w:rPr>
  </w:style>
  <w:style w:type="character" w:customStyle="1" w:styleId="15">
    <w:name w:val="calendar-head__prev-range-btn"/>
    <w:basedOn w:val="4"/>
    <w:qFormat/>
    <w:uiPriority w:val="0"/>
    <w:rPr>
      <w:vanish/>
    </w:rPr>
  </w:style>
  <w:style w:type="character" w:customStyle="1" w:styleId="16">
    <w:name w:val="calendar-head__next-year-bt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