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6E" w:rsidRDefault="002958FB">
      <w:pPr>
        <w:jc w:val="center"/>
        <w:rPr>
          <w:sz w:val="44"/>
          <w:szCs w:val="44"/>
        </w:rPr>
      </w:pPr>
      <w:r>
        <w:rPr>
          <w:rFonts w:hint="eastAsia"/>
          <w:sz w:val="44"/>
          <w:szCs w:val="44"/>
        </w:rPr>
        <w:t>江门市蓬江区市场监督管理局关于不合格食品核查处置情况的通告</w:t>
      </w:r>
    </w:p>
    <w:p w:rsidR="008B5C6E" w:rsidRDefault="002958FB">
      <w:pPr>
        <w:jc w:val="center"/>
        <w:rPr>
          <w:sz w:val="32"/>
          <w:szCs w:val="32"/>
        </w:rPr>
      </w:pPr>
      <w:r>
        <w:rPr>
          <w:rFonts w:hint="eastAsia"/>
          <w:sz w:val="32"/>
          <w:szCs w:val="32"/>
        </w:rPr>
        <w:t>（</w:t>
      </w:r>
      <w:r w:rsidR="00C9076C" w:rsidRPr="00C9076C">
        <w:rPr>
          <w:rFonts w:hint="eastAsia"/>
          <w:sz w:val="32"/>
          <w:szCs w:val="32"/>
        </w:rPr>
        <w:t>2020</w:t>
      </w:r>
      <w:r w:rsidR="00C9076C" w:rsidRPr="00C9076C">
        <w:rPr>
          <w:rFonts w:hint="eastAsia"/>
          <w:sz w:val="32"/>
          <w:szCs w:val="32"/>
        </w:rPr>
        <w:t>年</w:t>
      </w:r>
      <w:r w:rsidR="00C9076C" w:rsidRPr="00C9076C">
        <w:rPr>
          <w:rFonts w:hint="eastAsia"/>
          <w:sz w:val="32"/>
          <w:szCs w:val="32"/>
        </w:rPr>
        <w:t>6</w:t>
      </w:r>
      <w:r w:rsidR="00C9076C" w:rsidRPr="00C9076C">
        <w:rPr>
          <w:rFonts w:hint="eastAsia"/>
          <w:sz w:val="32"/>
          <w:szCs w:val="32"/>
        </w:rPr>
        <w:t>月</w:t>
      </w:r>
      <w:r w:rsidR="00C9076C" w:rsidRPr="00C9076C">
        <w:rPr>
          <w:rFonts w:hint="eastAsia"/>
          <w:sz w:val="32"/>
          <w:szCs w:val="32"/>
        </w:rPr>
        <w:t>10</w:t>
      </w:r>
      <w:r w:rsidR="00C9076C" w:rsidRPr="00C9076C">
        <w:rPr>
          <w:rFonts w:hint="eastAsia"/>
          <w:sz w:val="32"/>
          <w:szCs w:val="32"/>
        </w:rPr>
        <w:t>日</w:t>
      </w:r>
      <w:r>
        <w:rPr>
          <w:rFonts w:hint="eastAsia"/>
          <w:sz w:val="32"/>
          <w:szCs w:val="32"/>
        </w:rPr>
        <w:t>）</w:t>
      </w:r>
    </w:p>
    <w:p w:rsidR="008B5C6E" w:rsidRDefault="000F0EBA" w:rsidP="000F0EBA">
      <w:pPr>
        <w:ind w:firstLineChars="200" w:firstLine="640"/>
        <w:rPr>
          <w:sz w:val="32"/>
          <w:szCs w:val="32"/>
        </w:rPr>
      </w:pPr>
      <w:r w:rsidRPr="000F0EBA">
        <w:rPr>
          <w:rFonts w:hint="eastAsia"/>
          <w:bCs/>
          <w:sz w:val="32"/>
          <w:szCs w:val="32"/>
        </w:rPr>
        <w:t>江门市市场监督管理局</w:t>
      </w:r>
      <w:r w:rsidR="002958FB">
        <w:rPr>
          <w:rFonts w:hint="eastAsia"/>
          <w:sz w:val="32"/>
          <w:szCs w:val="32"/>
        </w:rPr>
        <w:t>组织食品安全监督抽检，发现我区一家食品经营单位</w:t>
      </w:r>
      <w:r w:rsidR="00244B7D">
        <w:rPr>
          <w:rFonts w:hint="eastAsia"/>
          <w:sz w:val="32"/>
          <w:szCs w:val="32"/>
        </w:rPr>
        <w:t>经营</w:t>
      </w:r>
      <w:r w:rsidR="002958FB">
        <w:rPr>
          <w:rFonts w:hint="eastAsia"/>
          <w:sz w:val="32"/>
          <w:szCs w:val="32"/>
        </w:rPr>
        <w:t>的食品不合格，现将不合格食品核查处置情况通告如下：</w:t>
      </w:r>
    </w:p>
    <w:p w:rsidR="00C9076C" w:rsidRDefault="00C9076C" w:rsidP="00C9076C">
      <w:pPr>
        <w:ind w:firstLineChars="200" w:firstLine="640"/>
        <w:rPr>
          <w:rFonts w:hint="eastAsia"/>
          <w:bCs/>
          <w:sz w:val="32"/>
          <w:szCs w:val="32"/>
        </w:rPr>
      </w:pPr>
      <w:r w:rsidRPr="00C9076C">
        <w:rPr>
          <w:rFonts w:hint="eastAsia"/>
          <w:bCs/>
          <w:sz w:val="32"/>
          <w:szCs w:val="32"/>
        </w:rPr>
        <w:t>“碧螺春”（生产日期</w:t>
      </w:r>
      <w:r w:rsidRPr="00C9076C">
        <w:rPr>
          <w:rFonts w:hint="eastAsia"/>
          <w:bCs/>
          <w:sz w:val="32"/>
          <w:szCs w:val="32"/>
        </w:rPr>
        <w:t>2019-1-14</w:t>
      </w:r>
      <w:r w:rsidRPr="00C9076C">
        <w:rPr>
          <w:rFonts w:hint="eastAsia"/>
          <w:bCs/>
          <w:sz w:val="32"/>
          <w:szCs w:val="32"/>
        </w:rPr>
        <w:t>）</w:t>
      </w:r>
    </w:p>
    <w:p w:rsidR="000F0EBA" w:rsidRPr="00C9076C" w:rsidRDefault="002958FB" w:rsidP="00C9076C">
      <w:pPr>
        <w:ind w:firstLineChars="200" w:firstLine="640"/>
        <w:rPr>
          <w:bCs/>
          <w:sz w:val="32"/>
          <w:szCs w:val="32"/>
        </w:rPr>
      </w:pPr>
      <w:r>
        <w:rPr>
          <w:rFonts w:hint="eastAsia"/>
          <w:sz w:val="32"/>
          <w:szCs w:val="32"/>
        </w:rPr>
        <w:t>（一）</w:t>
      </w:r>
      <w:r w:rsidR="00C9076C" w:rsidRPr="00C9076C">
        <w:rPr>
          <w:rFonts w:hint="eastAsia"/>
          <w:bCs/>
          <w:sz w:val="32"/>
          <w:szCs w:val="32"/>
        </w:rPr>
        <w:t>2019</w:t>
      </w:r>
      <w:r w:rsidR="00C9076C" w:rsidRPr="00C9076C">
        <w:rPr>
          <w:rFonts w:hint="eastAsia"/>
          <w:bCs/>
          <w:sz w:val="32"/>
          <w:szCs w:val="32"/>
        </w:rPr>
        <w:t>年</w:t>
      </w:r>
      <w:r w:rsidR="00C9076C" w:rsidRPr="00C9076C">
        <w:rPr>
          <w:rFonts w:hint="eastAsia"/>
          <w:bCs/>
          <w:sz w:val="32"/>
          <w:szCs w:val="32"/>
        </w:rPr>
        <w:t>9</w:t>
      </w:r>
      <w:r w:rsidR="00C9076C" w:rsidRPr="00C9076C">
        <w:rPr>
          <w:rFonts w:hint="eastAsia"/>
          <w:bCs/>
          <w:sz w:val="32"/>
          <w:szCs w:val="32"/>
        </w:rPr>
        <w:t>月</w:t>
      </w:r>
      <w:r w:rsidR="00C9076C" w:rsidRPr="00C9076C">
        <w:rPr>
          <w:rFonts w:hint="eastAsia"/>
          <w:bCs/>
          <w:sz w:val="32"/>
          <w:szCs w:val="32"/>
        </w:rPr>
        <w:t>27</w:t>
      </w:r>
      <w:r w:rsidR="00C9076C" w:rsidRPr="00C9076C">
        <w:rPr>
          <w:rFonts w:hint="eastAsia"/>
          <w:bCs/>
          <w:sz w:val="32"/>
          <w:szCs w:val="32"/>
        </w:rPr>
        <w:t>日，江门市市场监督管理局委托深圳市计量质量检测研究院对江门华润万家生活超市有限公司发展大道店经营的“碧螺春”（生产日期</w:t>
      </w:r>
      <w:r w:rsidR="00C9076C" w:rsidRPr="00C9076C">
        <w:rPr>
          <w:rFonts w:hint="eastAsia"/>
          <w:bCs/>
          <w:sz w:val="32"/>
          <w:szCs w:val="32"/>
        </w:rPr>
        <w:t>2019-1-14</w:t>
      </w:r>
      <w:r w:rsidR="00C9076C" w:rsidRPr="00C9076C">
        <w:rPr>
          <w:rFonts w:hint="eastAsia"/>
          <w:bCs/>
          <w:sz w:val="32"/>
          <w:szCs w:val="32"/>
        </w:rPr>
        <w:t>）进行抽样检验</w:t>
      </w:r>
      <w:r w:rsidR="00C9076C" w:rsidRPr="00C9076C">
        <w:rPr>
          <w:bCs/>
          <w:sz w:val="32"/>
          <w:szCs w:val="32"/>
        </w:rPr>
        <w:t>上述抽样检验发现</w:t>
      </w:r>
      <w:r w:rsidR="00C9076C" w:rsidRPr="00C9076C">
        <w:rPr>
          <w:rFonts w:hint="eastAsia"/>
          <w:bCs/>
          <w:sz w:val="32"/>
          <w:szCs w:val="32"/>
        </w:rPr>
        <w:t>上述“碧螺春”（生产日期</w:t>
      </w:r>
      <w:r w:rsidR="00C9076C" w:rsidRPr="00C9076C">
        <w:rPr>
          <w:rFonts w:hint="eastAsia"/>
          <w:bCs/>
          <w:sz w:val="32"/>
          <w:szCs w:val="32"/>
        </w:rPr>
        <w:t>2019-1-14</w:t>
      </w:r>
      <w:r w:rsidR="00C9076C" w:rsidRPr="00C9076C">
        <w:rPr>
          <w:rFonts w:hint="eastAsia"/>
          <w:bCs/>
          <w:sz w:val="32"/>
          <w:szCs w:val="32"/>
        </w:rPr>
        <w:t>）</w:t>
      </w:r>
      <w:r w:rsidR="00C9076C" w:rsidRPr="00C9076C">
        <w:rPr>
          <w:bCs/>
          <w:sz w:val="32"/>
          <w:szCs w:val="32"/>
        </w:rPr>
        <w:t>不合格</w:t>
      </w:r>
      <w:r w:rsidR="00C9076C" w:rsidRPr="00C9076C">
        <w:rPr>
          <w:rFonts w:hint="eastAsia"/>
          <w:bCs/>
          <w:sz w:val="32"/>
          <w:szCs w:val="32"/>
        </w:rPr>
        <w:t>，检验报告（</w:t>
      </w:r>
      <w:r w:rsidR="00C9076C" w:rsidRPr="00C9076C">
        <w:rPr>
          <w:rFonts w:hint="eastAsia"/>
          <w:bCs/>
          <w:sz w:val="32"/>
          <w:szCs w:val="32"/>
        </w:rPr>
        <w:t>SC10103191094793JD1</w:t>
      </w:r>
      <w:r w:rsidR="00C9076C" w:rsidRPr="00C9076C">
        <w:rPr>
          <w:rFonts w:hint="eastAsia"/>
          <w:bCs/>
          <w:sz w:val="32"/>
          <w:szCs w:val="32"/>
        </w:rPr>
        <w:t>），以上检验报告的检验结论为：经抽验检验，水胺硫磷项目不符合《</w:t>
      </w:r>
      <w:r w:rsidR="00C9076C" w:rsidRPr="00C9076C">
        <w:rPr>
          <w:rFonts w:hint="eastAsia"/>
          <w:bCs/>
          <w:sz w:val="32"/>
          <w:szCs w:val="32"/>
        </w:rPr>
        <w:t>GB2763-2016</w:t>
      </w:r>
      <w:r w:rsidR="00C9076C" w:rsidRPr="00C9076C">
        <w:rPr>
          <w:rFonts w:hint="eastAsia"/>
          <w:bCs/>
          <w:sz w:val="32"/>
          <w:szCs w:val="32"/>
        </w:rPr>
        <w:t>》要求，检验结论为不合格。</w:t>
      </w:r>
    </w:p>
    <w:p w:rsidR="00C9076C" w:rsidRPr="00C9076C" w:rsidRDefault="002958FB" w:rsidP="00C9076C">
      <w:pPr>
        <w:ind w:firstLineChars="200" w:firstLine="640"/>
        <w:rPr>
          <w:bCs/>
          <w:sz w:val="32"/>
          <w:szCs w:val="32"/>
        </w:rPr>
      </w:pPr>
      <w:r>
        <w:rPr>
          <w:rFonts w:hint="eastAsia"/>
          <w:sz w:val="32"/>
          <w:szCs w:val="32"/>
        </w:rPr>
        <w:t>（二）</w:t>
      </w:r>
      <w:r w:rsidR="00C9076C" w:rsidRPr="00C9076C">
        <w:rPr>
          <w:rFonts w:hint="eastAsia"/>
          <w:bCs/>
          <w:sz w:val="32"/>
          <w:szCs w:val="32"/>
        </w:rPr>
        <w:t>我局执法人员</w:t>
      </w:r>
      <w:r w:rsidR="00C9076C" w:rsidRPr="00C9076C">
        <w:rPr>
          <w:bCs/>
          <w:sz w:val="32"/>
          <w:szCs w:val="32"/>
        </w:rPr>
        <w:t>201</w:t>
      </w:r>
      <w:r w:rsidR="00C9076C" w:rsidRPr="00C9076C">
        <w:rPr>
          <w:rFonts w:hint="eastAsia"/>
          <w:bCs/>
          <w:sz w:val="32"/>
          <w:szCs w:val="32"/>
        </w:rPr>
        <w:t>9</w:t>
      </w:r>
      <w:r w:rsidR="00C9076C" w:rsidRPr="00C9076C">
        <w:rPr>
          <w:bCs/>
          <w:sz w:val="32"/>
          <w:szCs w:val="32"/>
        </w:rPr>
        <w:t>年</w:t>
      </w:r>
      <w:r w:rsidR="00C9076C" w:rsidRPr="00C9076C">
        <w:rPr>
          <w:rFonts w:hint="eastAsia"/>
          <w:bCs/>
          <w:sz w:val="32"/>
          <w:szCs w:val="32"/>
        </w:rPr>
        <w:t>11</w:t>
      </w:r>
      <w:r w:rsidR="00C9076C" w:rsidRPr="00C9076C">
        <w:rPr>
          <w:bCs/>
          <w:sz w:val="32"/>
          <w:szCs w:val="32"/>
        </w:rPr>
        <w:t>月</w:t>
      </w:r>
      <w:r w:rsidR="00C9076C" w:rsidRPr="00C9076C">
        <w:rPr>
          <w:rFonts w:hint="eastAsia"/>
          <w:bCs/>
          <w:sz w:val="32"/>
          <w:szCs w:val="32"/>
        </w:rPr>
        <w:t>8</w:t>
      </w:r>
      <w:r w:rsidR="00C9076C" w:rsidRPr="00C9076C">
        <w:rPr>
          <w:bCs/>
          <w:sz w:val="32"/>
          <w:szCs w:val="32"/>
        </w:rPr>
        <w:t>日</w:t>
      </w:r>
      <w:r w:rsidR="00C9076C" w:rsidRPr="00C9076C">
        <w:rPr>
          <w:rFonts w:hint="eastAsia"/>
          <w:bCs/>
          <w:sz w:val="32"/>
          <w:szCs w:val="32"/>
        </w:rPr>
        <w:t>向</w:t>
      </w:r>
      <w:r w:rsidR="004031EB" w:rsidRPr="004031EB">
        <w:rPr>
          <w:rFonts w:hint="eastAsia"/>
          <w:bCs/>
          <w:sz w:val="32"/>
          <w:szCs w:val="32"/>
        </w:rPr>
        <w:t>江门华润万家生活超市有限公司发展大道店</w:t>
      </w:r>
      <w:r w:rsidR="00C9076C" w:rsidRPr="00C9076C">
        <w:rPr>
          <w:rFonts w:hint="eastAsia"/>
          <w:bCs/>
          <w:sz w:val="32"/>
          <w:szCs w:val="32"/>
        </w:rPr>
        <w:t>现场送达上述检验报告（</w:t>
      </w:r>
      <w:r w:rsidR="00C9076C" w:rsidRPr="00C9076C">
        <w:rPr>
          <w:rFonts w:hint="eastAsia"/>
          <w:bCs/>
          <w:sz w:val="32"/>
          <w:szCs w:val="32"/>
        </w:rPr>
        <w:t>NO:SP1921341</w:t>
      </w:r>
      <w:r w:rsidR="00C9076C" w:rsidRPr="00C9076C">
        <w:rPr>
          <w:rFonts w:hint="eastAsia"/>
          <w:bCs/>
          <w:sz w:val="32"/>
          <w:szCs w:val="32"/>
        </w:rPr>
        <w:t>），并告知</w:t>
      </w:r>
      <w:r w:rsidR="004031EB" w:rsidRPr="004031EB">
        <w:rPr>
          <w:rFonts w:hint="eastAsia"/>
          <w:bCs/>
          <w:sz w:val="32"/>
          <w:szCs w:val="32"/>
        </w:rPr>
        <w:t>江门华润万家生活超市有限公司发展大道</w:t>
      </w:r>
      <w:proofErr w:type="gramStart"/>
      <w:r w:rsidR="004031EB" w:rsidRPr="004031EB">
        <w:rPr>
          <w:rFonts w:hint="eastAsia"/>
          <w:bCs/>
          <w:sz w:val="32"/>
          <w:szCs w:val="32"/>
        </w:rPr>
        <w:t>店</w:t>
      </w:r>
      <w:r w:rsidR="00C9076C" w:rsidRPr="00C9076C">
        <w:rPr>
          <w:rFonts w:hint="eastAsia"/>
          <w:bCs/>
          <w:sz w:val="32"/>
          <w:szCs w:val="32"/>
        </w:rPr>
        <w:t>相关</w:t>
      </w:r>
      <w:proofErr w:type="gramEnd"/>
      <w:r w:rsidR="00C9076C" w:rsidRPr="00C9076C">
        <w:rPr>
          <w:rFonts w:hint="eastAsia"/>
          <w:bCs/>
          <w:sz w:val="32"/>
          <w:szCs w:val="32"/>
        </w:rPr>
        <w:t>复检的权利，现场未发现涉案批次不合格“碧螺春”在售和库存。</w:t>
      </w:r>
      <w:r w:rsidR="004031EB" w:rsidRPr="004031EB">
        <w:rPr>
          <w:rFonts w:hint="eastAsia"/>
          <w:bCs/>
          <w:sz w:val="32"/>
          <w:szCs w:val="32"/>
        </w:rPr>
        <w:t>江门华润万家生活超市有限公司发展大道店</w:t>
      </w:r>
      <w:r w:rsidR="00C9076C" w:rsidRPr="00C9076C">
        <w:rPr>
          <w:rFonts w:hint="eastAsia"/>
          <w:bCs/>
          <w:sz w:val="32"/>
          <w:szCs w:val="32"/>
        </w:rPr>
        <w:t>对上述抽检报告无异议，未提出复检。</w:t>
      </w:r>
    </w:p>
    <w:p w:rsidR="00730706" w:rsidRDefault="004031EB" w:rsidP="004031EB">
      <w:pPr>
        <w:ind w:firstLineChars="200" w:firstLine="640"/>
        <w:rPr>
          <w:sz w:val="32"/>
          <w:szCs w:val="32"/>
        </w:rPr>
      </w:pPr>
      <w:r w:rsidRPr="004031EB">
        <w:rPr>
          <w:rFonts w:hint="eastAsia"/>
          <w:bCs/>
          <w:sz w:val="32"/>
          <w:szCs w:val="32"/>
        </w:rPr>
        <w:t>江门华润万家生活超市有限公司发展大道店经营水胺硫磷项目不符合</w:t>
      </w:r>
      <w:r w:rsidRPr="004031EB">
        <w:rPr>
          <w:rFonts w:hint="eastAsia"/>
          <w:bCs/>
          <w:sz w:val="32"/>
          <w:szCs w:val="32"/>
        </w:rPr>
        <w:t>GB 2763-2016</w:t>
      </w:r>
      <w:r w:rsidRPr="004031EB">
        <w:rPr>
          <w:rFonts w:hint="eastAsia"/>
          <w:bCs/>
          <w:sz w:val="32"/>
          <w:szCs w:val="32"/>
        </w:rPr>
        <w:t>要求的“碧螺春”的行为</w:t>
      </w:r>
      <w:r w:rsidR="002958FB">
        <w:rPr>
          <w:rFonts w:hint="eastAsia"/>
          <w:sz w:val="32"/>
          <w:szCs w:val="32"/>
        </w:rPr>
        <w:t>涉嫌</w:t>
      </w:r>
      <w:r w:rsidR="002958FB">
        <w:rPr>
          <w:rFonts w:hint="eastAsia"/>
          <w:sz w:val="32"/>
          <w:szCs w:val="32"/>
        </w:rPr>
        <w:lastRenderedPageBreak/>
        <w:t>违反《中华人民共和国食品安全法》第三十四条第（</w:t>
      </w:r>
      <w:r>
        <w:rPr>
          <w:rFonts w:hint="eastAsia"/>
          <w:sz w:val="32"/>
          <w:szCs w:val="32"/>
        </w:rPr>
        <w:t>二</w:t>
      </w:r>
      <w:r w:rsidR="002958FB">
        <w:rPr>
          <w:rFonts w:hint="eastAsia"/>
          <w:sz w:val="32"/>
          <w:szCs w:val="32"/>
        </w:rPr>
        <w:t>）项的规定，我局遂予以立案调查。</w:t>
      </w:r>
    </w:p>
    <w:p w:rsidR="008B5C6E" w:rsidRDefault="002958FB" w:rsidP="007C7192">
      <w:pPr>
        <w:ind w:firstLineChars="200" w:firstLine="640"/>
        <w:rPr>
          <w:sz w:val="32"/>
          <w:szCs w:val="32"/>
        </w:rPr>
      </w:pPr>
      <w:r>
        <w:rPr>
          <w:rFonts w:hint="eastAsia"/>
          <w:sz w:val="32"/>
          <w:szCs w:val="32"/>
        </w:rPr>
        <w:t>（三）</w:t>
      </w:r>
      <w:r w:rsidR="007C7192" w:rsidRPr="007C7192">
        <w:rPr>
          <w:rFonts w:hint="eastAsia"/>
          <w:bCs/>
          <w:sz w:val="32"/>
          <w:szCs w:val="32"/>
        </w:rPr>
        <w:t>江门华润万家生活超市有限公司发展大道</w:t>
      </w:r>
      <w:proofErr w:type="gramStart"/>
      <w:r w:rsidR="007C7192" w:rsidRPr="007C7192">
        <w:rPr>
          <w:rFonts w:hint="eastAsia"/>
          <w:bCs/>
          <w:sz w:val="32"/>
          <w:szCs w:val="32"/>
        </w:rPr>
        <w:t>店水胺</w:t>
      </w:r>
      <w:proofErr w:type="gramEnd"/>
      <w:r w:rsidR="007C7192" w:rsidRPr="007C7192">
        <w:rPr>
          <w:rFonts w:hint="eastAsia"/>
          <w:bCs/>
          <w:sz w:val="32"/>
          <w:szCs w:val="32"/>
        </w:rPr>
        <w:t>硫磷项目不符合</w:t>
      </w:r>
      <w:r w:rsidR="007C7192" w:rsidRPr="007C7192">
        <w:rPr>
          <w:rFonts w:hint="eastAsia"/>
          <w:bCs/>
          <w:sz w:val="32"/>
          <w:szCs w:val="32"/>
        </w:rPr>
        <w:t>GB 2763-2016</w:t>
      </w:r>
      <w:r w:rsidR="007C7192" w:rsidRPr="007C7192">
        <w:rPr>
          <w:rFonts w:hint="eastAsia"/>
          <w:bCs/>
          <w:sz w:val="32"/>
          <w:szCs w:val="32"/>
        </w:rPr>
        <w:t>要求的“碧螺春”的行为违反</w:t>
      </w:r>
      <w:r w:rsidR="007C7192">
        <w:rPr>
          <w:rFonts w:hint="eastAsia"/>
          <w:bCs/>
          <w:sz w:val="32"/>
          <w:szCs w:val="32"/>
        </w:rPr>
        <w:t>了</w:t>
      </w:r>
      <w:r w:rsidR="007C7192" w:rsidRPr="007C7192">
        <w:rPr>
          <w:rFonts w:hint="eastAsia"/>
          <w:bCs/>
          <w:sz w:val="32"/>
          <w:szCs w:val="32"/>
        </w:rPr>
        <w:t>《中华人民共和国食品安全法》第三十四条第（二）项的规定</w:t>
      </w:r>
      <w:r>
        <w:rPr>
          <w:rFonts w:hint="eastAsia"/>
          <w:sz w:val="32"/>
          <w:szCs w:val="32"/>
        </w:rPr>
        <w:t>。</w:t>
      </w:r>
      <w:r w:rsidR="002C3EEB" w:rsidRPr="002C3EEB">
        <w:rPr>
          <w:bCs/>
          <w:sz w:val="32"/>
          <w:szCs w:val="32"/>
        </w:rPr>
        <w:t>根据《中华人民共和国食品安全法》第一百三十六条规定</w:t>
      </w:r>
      <w:r>
        <w:rPr>
          <w:rFonts w:hint="eastAsia"/>
          <w:sz w:val="32"/>
          <w:szCs w:val="32"/>
        </w:rPr>
        <w:t>，决定对</w:t>
      </w:r>
      <w:r w:rsidR="002C3EEB" w:rsidRPr="002C3EEB">
        <w:rPr>
          <w:rFonts w:hint="eastAsia"/>
          <w:bCs/>
          <w:sz w:val="32"/>
          <w:szCs w:val="32"/>
        </w:rPr>
        <w:t>蓬江</w:t>
      </w:r>
      <w:bookmarkStart w:id="0" w:name="_GoBack"/>
      <w:bookmarkEnd w:id="0"/>
      <w:r w:rsidR="002C3EEB" w:rsidRPr="002C3EEB">
        <w:rPr>
          <w:rFonts w:hint="eastAsia"/>
          <w:bCs/>
          <w:sz w:val="32"/>
          <w:szCs w:val="32"/>
        </w:rPr>
        <w:t>区白</w:t>
      </w:r>
      <w:proofErr w:type="gramStart"/>
      <w:r w:rsidR="002C3EEB" w:rsidRPr="002C3EEB">
        <w:rPr>
          <w:rFonts w:hint="eastAsia"/>
          <w:bCs/>
          <w:sz w:val="32"/>
          <w:szCs w:val="32"/>
        </w:rPr>
        <w:t>石鲜煮荟</w:t>
      </w:r>
      <w:proofErr w:type="gramEnd"/>
      <w:r w:rsidR="002C3EEB" w:rsidRPr="002C3EEB">
        <w:rPr>
          <w:rFonts w:hint="eastAsia"/>
          <w:bCs/>
          <w:sz w:val="32"/>
          <w:szCs w:val="32"/>
        </w:rPr>
        <w:t>生活百货超市</w:t>
      </w:r>
      <w:r>
        <w:rPr>
          <w:rFonts w:hint="eastAsia"/>
          <w:sz w:val="32"/>
          <w:szCs w:val="32"/>
        </w:rPr>
        <w:t>免予行政处罚。（</w:t>
      </w:r>
      <w:r w:rsidR="00730706">
        <w:rPr>
          <w:rFonts w:hint="eastAsia"/>
          <w:sz w:val="32"/>
          <w:szCs w:val="32"/>
        </w:rPr>
        <w:t>不予</w:t>
      </w:r>
      <w:r>
        <w:rPr>
          <w:rFonts w:hint="eastAsia"/>
          <w:sz w:val="32"/>
          <w:szCs w:val="32"/>
        </w:rPr>
        <w:t>行政处罚决定书编号：</w:t>
      </w:r>
      <w:r w:rsidR="007C7192" w:rsidRPr="007C7192">
        <w:rPr>
          <w:sz w:val="32"/>
          <w:szCs w:val="32"/>
        </w:rPr>
        <w:t>蓬</w:t>
      </w:r>
      <w:proofErr w:type="gramStart"/>
      <w:r w:rsidR="007C7192" w:rsidRPr="007C7192">
        <w:rPr>
          <w:sz w:val="32"/>
          <w:szCs w:val="32"/>
        </w:rPr>
        <w:t>江</w:t>
      </w:r>
      <w:r w:rsidR="007C7192" w:rsidRPr="007C7192">
        <w:rPr>
          <w:rFonts w:hint="eastAsia"/>
          <w:sz w:val="32"/>
          <w:szCs w:val="32"/>
        </w:rPr>
        <w:t>市</w:t>
      </w:r>
      <w:r w:rsidR="007C7192" w:rsidRPr="007C7192">
        <w:rPr>
          <w:sz w:val="32"/>
          <w:szCs w:val="32"/>
        </w:rPr>
        <w:t>监不罚</w:t>
      </w:r>
      <w:proofErr w:type="gramEnd"/>
      <w:r w:rsidR="007C7192" w:rsidRPr="007C7192">
        <w:rPr>
          <w:sz w:val="32"/>
          <w:szCs w:val="32"/>
        </w:rPr>
        <w:t>决〔</w:t>
      </w:r>
      <w:r w:rsidR="007C7192" w:rsidRPr="007C7192">
        <w:rPr>
          <w:sz w:val="32"/>
          <w:szCs w:val="32"/>
        </w:rPr>
        <w:t>20</w:t>
      </w:r>
      <w:r w:rsidR="007C7192" w:rsidRPr="007C7192">
        <w:rPr>
          <w:rFonts w:hint="eastAsia"/>
          <w:sz w:val="32"/>
          <w:szCs w:val="32"/>
        </w:rPr>
        <w:t>20</w:t>
      </w:r>
      <w:r w:rsidR="007C7192" w:rsidRPr="007C7192">
        <w:rPr>
          <w:sz w:val="32"/>
          <w:szCs w:val="32"/>
        </w:rPr>
        <w:t>〕</w:t>
      </w:r>
      <w:r w:rsidR="007C7192" w:rsidRPr="007C7192">
        <w:rPr>
          <w:rFonts w:hint="eastAsia"/>
          <w:sz w:val="32"/>
          <w:szCs w:val="32"/>
        </w:rPr>
        <w:t>47</w:t>
      </w:r>
      <w:r w:rsidR="007C7192" w:rsidRPr="007C7192">
        <w:rPr>
          <w:sz w:val="32"/>
          <w:szCs w:val="32"/>
        </w:rPr>
        <w:t>号</w:t>
      </w:r>
      <w:r>
        <w:rPr>
          <w:rFonts w:hint="eastAsia"/>
          <w:sz w:val="32"/>
          <w:szCs w:val="32"/>
        </w:rPr>
        <w:t>）</w:t>
      </w:r>
    </w:p>
    <w:p w:rsidR="008B5C6E" w:rsidRDefault="008B5C6E">
      <w:pPr>
        <w:rPr>
          <w:sz w:val="32"/>
          <w:szCs w:val="32"/>
        </w:rPr>
      </w:pPr>
    </w:p>
    <w:p w:rsidR="008B5C6E" w:rsidRDefault="008B5C6E">
      <w:pPr>
        <w:rPr>
          <w:sz w:val="32"/>
          <w:szCs w:val="32"/>
        </w:rPr>
      </w:pPr>
    </w:p>
    <w:p w:rsidR="008B5C6E" w:rsidRDefault="002958FB">
      <w:pPr>
        <w:ind w:firstLineChars="1100" w:firstLine="3520"/>
        <w:rPr>
          <w:sz w:val="32"/>
          <w:szCs w:val="32"/>
        </w:rPr>
      </w:pPr>
      <w:r>
        <w:rPr>
          <w:rFonts w:hint="eastAsia"/>
          <w:sz w:val="32"/>
          <w:szCs w:val="32"/>
        </w:rPr>
        <w:t>江门市蓬江区市场监督管理局</w:t>
      </w:r>
    </w:p>
    <w:p w:rsidR="008B5C6E" w:rsidRDefault="00730706">
      <w:pPr>
        <w:ind w:firstLineChars="1400" w:firstLine="4480"/>
        <w:rPr>
          <w:sz w:val="32"/>
          <w:szCs w:val="32"/>
        </w:rPr>
      </w:pPr>
      <w:r>
        <w:rPr>
          <w:rFonts w:hint="eastAsia"/>
          <w:sz w:val="32"/>
          <w:szCs w:val="32"/>
        </w:rPr>
        <w:t>2020</w:t>
      </w:r>
      <w:r>
        <w:rPr>
          <w:rFonts w:hint="eastAsia"/>
          <w:sz w:val="32"/>
          <w:szCs w:val="32"/>
        </w:rPr>
        <w:t>年</w:t>
      </w:r>
      <w:r w:rsidR="007C7192">
        <w:rPr>
          <w:rFonts w:hint="eastAsia"/>
          <w:sz w:val="32"/>
          <w:szCs w:val="32"/>
        </w:rPr>
        <w:t>6</w:t>
      </w:r>
      <w:r>
        <w:rPr>
          <w:rFonts w:hint="eastAsia"/>
          <w:sz w:val="32"/>
          <w:szCs w:val="32"/>
        </w:rPr>
        <w:t>月</w:t>
      </w:r>
      <w:r w:rsidR="007C7192">
        <w:rPr>
          <w:rFonts w:hint="eastAsia"/>
          <w:sz w:val="32"/>
          <w:szCs w:val="32"/>
        </w:rPr>
        <w:t>10</w:t>
      </w:r>
      <w:r>
        <w:rPr>
          <w:rFonts w:hint="eastAsia"/>
          <w:sz w:val="32"/>
          <w:szCs w:val="32"/>
        </w:rPr>
        <w:t>日</w:t>
      </w:r>
    </w:p>
    <w:p w:rsidR="008B5C6E" w:rsidRDefault="008B5C6E"/>
    <w:sectPr w:rsidR="008B5C6E" w:rsidSect="008B5C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56" w:rsidRDefault="00812A56" w:rsidP="006A41C5">
      <w:r>
        <w:separator/>
      </w:r>
    </w:p>
  </w:endnote>
  <w:endnote w:type="continuationSeparator" w:id="0">
    <w:p w:rsidR="00812A56" w:rsidRDefault="00812A56" w:rsidP="006A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56" w:rsidRDefault="00812A56" w:rsidP="006A41C5">
      <w:r>
        <w:separator/>
      </w:r>
    </w:p>
  </w:footnote>
  <w:footnote w:type="continuationSeparator" w:id="0">
    <w:p w:rsidR="00812A56" w:rsidRDefault="00812A56" w:rsidP="006A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DA4995"/>
    <w:rsid w:val="000F07C0"/>
    <w:rsid w:val="000F0EBA"/>
    <w:rsid w:val="00244B7D"/>
    <w:rsid w:val="00281626"/>
    <w:rsid w:val="002958FB"/>
    <w:rsid w:val="002C3EEB"/>
    <w:rsid w:val="004031EB"/>
    <w:rsid w:val="006A05FE"/>
    <w:rsid w:val="006A41C5"/>
    <w:rsid w:val="006A7CB4"/>
    <w:rsid w:val="00730706"/>
    <w:rsid w:val="007C7192"/>
    <w:rsid w:val="00812A56"/>
    <w:rsid w:val="00815597"/>
    <w:rsid w:val="008B5C6E"/>
    <w:rsid w:val="0097649E"/>
    <w:rsid w:val="00AD208F"/>
    <w:rsid w:val="00C9076C"/>
    <w:rsid w:val="00C92631"/>
    <w:rsid w:val="00E523DD"/>
    <w:rsid w:val="00E605C4"/>
    <w:rsid w:val="19DA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C6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5C6E"/>
    <w:pPr>
      <w:jc w:val="left"/>
    </w:pPr>
    <w:rPr>
      <w:kern w:val="0"/>
      <w:sz w:val="24"/>
    </w:rPr>
  </w:style>
  <w:style w:type="character" w:styleId="a4">
    <w:name w:val="FollowedHyperlink"/>
    <w:basedOn w:val="a0"/>
    <w:rsid w:val="008B5C6E"/>
    <w:rPr>
      <w:color w:val="333333"/>
      <w:u w:val="none"/>
    </w:rPr>
  </w:style>
  <w:style w:type="character" w:styleId="a5">
    <w:name w:val="Hyperlink"/>
    <w:basedOn w:val="a0"/>
    <w:rsid w:val="008B5C6E"/>
    <w:rPr>
      <w:color w:val="333333"/>
      <w:u w:val="none"/>
    </w:rPr>
  </w:style>
  <w:style w:type="character" w:styleId="HTML">
    <w:name w:val="HTML Code"/>
    <w:basedOn w:val="a0"/>
    <w:rsid w:val="008B5C6E"/>
    <w:rPr>
      <w:rFonts w:ascii="Courier New" w:hAnsi="Courier New"/>
      <w:sz w:val="20"/>
      <w:bdr w:val="none" w:sz="0" w:space="0" w:color="auto"/>
    </w:rPr>
  </w:style>
  <w:style w:type="paragraph" w:customStyle="1" w:styleId="1">
    <w:name w:val="列出段落1"/>
    <w:basedOn w:val="a"/>
    <w:uiPriority w:val="34"/>
    <w:qFormat/>
    <w:rsid w:val="008B5C6E"/>
    <w:pPr>
      <w:ind w:firstLineChars="200" w:firstLine="420"/>
    </w:pPr>
  </w:style>
  <w:style w:type="character" w:customStyle="1" w:styleId="calendar-headtext-display">
    <w:name w:val="calendar-head__text-display"/>
    <w:basedOn w:val="a0"/>
    <w:rsid w:val="008B5C6E"/>
    <w:rPr>
      <w:vanish/>
    </w:rPr>
  </w:style>
  <w:style w:type="character" w:customStyle="1" w:styleId="calendar-headnext-range-btn">
    <w:name w:val="calendar-head__next-range-btn"/>
    <w:basedOn w:val="a0"/>
    <w:rsid w:val="008B5C6E"/>
    <w:rPr>
      <w:vanish/>
    </w:rPr>
  </w:style>
  <w:style w:type="character" w:customStyle="1" w:styleId="calendar-headnext-month-btn">
    <w:name w:val="calendar-head__next-month-btn"/>
    <w:basedOn w:val="a0"/>
    <w:rsid w:val="008B5C6E"/>
  </w:style>
  <w:style w:type="character" w:customStyle="1" w:styleId="active4">
    <w:name w:val="active4"/>
    <w:basedOn w:val="a0"/>
    <w:rsid w:val="008B5C6E"/>
    <w:rPr>
      <w:color w:val="333333"/>
    </w:rPr>
  </w:style>
  <w:style w:type="character" w:customStyle="1" w:styleId="calendar-headyear-range">
    <w:name w:val="calendar-head__year-range"/>
    <w:basedOn w:val="a0"/>
    <w:rsid w:val="008B5C6E"/>
    <w:rPr>
      <w:vanish/>
    </w:rPr>
  </w:style>
  <w:style w:type="character" w:customStyle="1" w:styleId="hover2">
    <w:name w:val="hover2"/>
    <w:basedOn w:val="a0"/>
    <w:rsid w:val="008B5C6E"/>
    <w:rPr>
      <w:color w:val="2F6EA2"/>
    </w:rPr>
  </w:style>
  <w:style w:type="character" w:customStyle="1" w:styleId="calendar-headprev-range-btn">
    <w:name w:val="calendar-head__prev-range-btn"/>
    <w:basedOn w:val="a0"/>
    <w:rsid w:val="008B5C6E"/>
    <w:rPr>
      <w:vanish/>
    </w:rPr>
  </w:style>
  <w:style w:type="character" w:customStyle="1" w:styleId="calendar-headnext-year-btn">
    <w:name w:val="calendar-head__next-year-btn"/>
    <w:basedOn w:val="a0"/>
    <w:rsid w:val="008B5C6E"/>
  </w:style>
  <w:style w:type="paragraph" w:styleId="a6">
    <w:name w:val="header"/>
    <w:basedOn w:val="a"/>
    <w:link w:val="Char"/>
    <w:rsid w:val="006A4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A41C5"/>
    <w:rPr>
      <w:kern w:val="2"/>
      <w:sz w:val="18"/>
      <w:szCs w:val="18"/>
    </w:rPr>
  </w:style>
  <w:style w:type="paragraph" w:styleId="a7">
    <w:name w:val="footer"/>
    <w:basedOn w:val="a"/>
    <w:link w:val="Char0"/>
    <w:rsid w:val="006A41C5"/>
    <w:pPr>
      <w:tabs>
        <w:tab w:val="center" w:pos="4153"/>
        <w:tab w:val="right" w:pos="8306"/>
      </w:tabs>
      <w:snapToGrid w:val="0"/>
      <w:jc w:val="left"/>
    </w:pPr>
    <w:rPr>
      <w:sz w:val="18"/>
      <w:szCs w:val="18"/>
    </w:rPr>
  </w:style>
  <w:style w:type="character" w:customStyle="1" w:styleId="Char0">
    <w:name w:val="页脚 Char"/>
    <w:basedOn w:val="a0"/>
    <w:link w:val="a7"/>
    <w:rsid w:val="006A41C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耿亮</cp:lastModifiedBy>
  <cp:revision>8</cp:revision>
  <dcterms:created xsi:type="dcterms:W3CDTF">2020-10-17T01:28:00Z</dcterms:created>
  <dcterms:modified xsi:type="dcterms:W3CDTF">2020-10-19T09:24:00Z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