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江门市沙仔尾新兴凉果综合商行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广东省质量监督食品检验站受阳西县食品药品监督管理局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</w:t>
      </w:r>
      <w:r>
        <w:rPr>
          <w:rFonts w:hint="eastAsia" w:ascii="仿宋" w:hAnsi="仿宋" w:eastAsia="仿宋" w:cs="仿宋_GB2312"/>
          <w:sz w:val="28"/>
          <w:szCs w:val="28"/>
        </w:rPr>
        <w:t>对江门市蓬江区大平调味食品厂生产的涉案食品味精（谷氨酸钠）进行抽检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，现将不合格食品核查处置情况通告如下：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味精（谷氨酸钠）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广东省质量监督食品检验站受阳西县食品药品监督管理局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委托于2018年6月21日对你厂生产的涉案食品味精（谷氨酸钠）进行抽检，经抽样检验，涉案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产品标签所标示的标准代号（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2720-2003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）是已作废的标准，且未标示“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QS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”标志，不符合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7718-2011标准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要求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，检验结论为不合格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 xml:space="preserve">                            </w:t>
      </w:r>
    </w:p>
    <w:p>
      <w:pPr>
        <w:spacing w:line="500" w:lineRule="exact"/>
        <w:ind w:firstLine="601"/>
        <w:jc w:val="left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（二）本局于2018年9月21日对你厂涉嫌生产标签不符合规定食品的行为立案调查。</w:t>
      </w:r>
    </w:p>
    <w:p>
      <w:pPr>
        <w:spacing w:line="500" w:lineRule="exact"/>
        <w:ind w:firstLine="601"/>
        <w:jc w:val="left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经查明，你厂于2018年6月12日生产上述不合格批次食品味精（谷氨酸钠）共40包（共2箱，每箱20包，规格：400克/包），于2018年6月15日作为赠品全部赠送给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zh-CN"/>
        </w:rPr>
        <w:t>阳西县儒洞镇海味食品购销店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你厂生产标签标示作废标准的食品</w:t>
      </w:r>
      <w:r>
        <w:rPr>
          <w:rFonts w:hint="eastAsia" w:ascii="仿宋" w:hAnsi="仿宋" w:eastAsia="仿宋" w:cs="仿宋_GB2312"/>
          <w:sz w:val="28"/>
          <w:szCs w:val="28"/>
        </w:rPr>
        <w:t>味精（谷氨酸钠）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行为，违反了</w:t>
      </w:r>
      <w:r>
        <w:rPr>
          <w:rFonts w:hint="eastAsia" w:ascii="仿宋" w:hAnsi="仿宋" w:eastAsia="仿宋" w:cs="仿宋_GB2312"/>
          <w:sz w:val="28"/>
          <w:szCs w:val="28"/>
        </w:rPr>
        <w:t>《中华人民共和国食品安全法》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第七十一条第三款的规定，</w:t>
      </w:r>
      <w:r>
        <w:rPr>
          <w:rFonts w:hint="eastAsia" w:ascii="仿宋" w:hAnsi="仿宋" w:eastAsia="仿宋" w:cs="仿宋_GB2312"/>
          <w:sz w:val="28"/>
          <w:szCs w:val="28"/>
        </w:rPr>
        <w:t>依据《中华人民共和国食品安全法》第一百二十五条第一款第二项的规定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决定对你厂从轻处罚如下：</w:t>
      </w:r>
      <w:r>
        <w:rPr>
          <w:rFonts w:hint="eastAsia" w:ascii="仿宋" w:hAnsi="仿宋" w:eastAsia="仿宋" w:cs="仿宋_GB2312"/>
          <w:sz w:val="28"/>
          <w:szCs w:val="28"/>
        </w:rPr>
        <w:t>处罚款伍仟元（即5000元）。</w:t>
      </w:r>
    </w:p>
    <w:p>
      <w:pPr>
        <w:spacing w:line="520" w:lineRule="exact"/>
        <w:ind w:firstLine="560" w:firstLineChars="200"/>
        <w:jc w:val="left"/>
        <w:rPr>
          <w:rFonts w:hint="eastAsia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蓬江市监罚决〔20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02010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号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月2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87F19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02353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D6AF5"/>
    <w:rsid w:val="00C76CF1"/>
    <w:rsid w:val="00CA041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19DA4995"/>
    <w:rsid w:val="19F04AB5"/>
    <w:rsid w:val="258E029A"/>
    <w:rsid w:val="2D450FE8"/>
    <w:rsid w:val="48750012"/>
    <w:rsid w:val="5E692F61"/>
    <w:rsid w:val="601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qFormat/>
    <w:uiPriority w:val="0"/>
    <w:rPr>
      <w:vanish/>
    </w:rPr>
  </w:style>
  <w:style w:type="character" w:customStyle="1" w:styleId="12">
    <w:name w:val="calendar-head__next-range-btn"/>
    <w:basedOn w:val="6"/>
    <w:qFormat/>
    <w:uiPriority w:val="0"/>
    <w:rPr>
      <w:vanish/>
    </w:rPr>
  </w:style>
  <w:style w:type="character" w:customStyle="1" w:styleId="13">
    <w:name w:val="calendar-head__next-month-btn"/>
    <w:basedOn w:val="6"/>
    <w:qFormat/>
    <w:uiPriority w:val="0"/>
  </w:style>
  <w:style w:type="character" w:customStyle="1" w:styleId="14">
    <w:name w:val="active4"/>
    <w:basedOn w:val="6"/>
    <w:qFormat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2020-10-18T07:21:00Z</dcterms:created>
  <dc:creator>Administrator</dc:creator>
  <cp:lastModifiedBy>♌MR.龙狗</cp:lastModifiedBy>
  <dcterms:modified xsi:type="dcterms:W3CDTF">2020-10-22T10:38:54Z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