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rPr>
      </w:pPr>
      <w:r>
        <w:rPr>
          <w:rFonts w:hint="eastAsia" w:ascii="仿宋" w:hAnsi="仿宋" w:eastAsia="仿宋" w:cs="仿宋"/>
          <w:sz w:val="44"/>
          <w:szCs w:val="44"/>
        </w:rPr>
        <w:t>江门市</w:t>
      </w:r>
      <w:r>
        <w:rPr>
          <w:rFonts w:hint="eastAsia" w:ascii="仿宋" w:hAnsi="仿宋" w:eastAsia="仿宋" w:cs="仿宋"/>
          <w:sz w:val="44"/>
          <w:szCs w:val="44"/>
          <w:lang w:eastAsia="zh-CN"/>
        </w:rPr>
        <w:t>蓬江</w:t>
      </w:r>
      <w:r>
        <w:rPr>
          <w:rFonts w:hint="eastAsia" w:ascii="仿宋" w:hAnsi="仿宋" w:eastAsia="仿宋" w:cs="仿宋"/>
          <w:sz w:val="44"/>
          <w:szCs w:val="44"/>
        </w:rPr>
        <w:t>区市场监督管理局关于不合格食品核查处置情况的通告</w:t>
      </w:r>
    </w:p>
    <w:p>
      <w:pPr>
        <w:jc w:val="center"/>
        <w:rPr>
          <w:rFonts w:hint="eastAsia" w:ascii="仿宋" w:hAnsi="仿宋" w:eastAsia="仿宋" w:cs="仿宋"/>
          <w:sz w:val="32"/>
          <w:szCs w:val="32"/>
        </w:rPr>
      </w:pPr>
      <w:bookmarkStart w:id="0" w:name="_GoBack"/>
      <w:r>
        <w:rPr>
          <w:rFonts w:hint="eastAsia" w:ascii="仿宋" w:hAnsi="仿宋" w:eastAsia="仿宋" w:cs="仿宋"/>
          <w:sz w:val="32"/>
          <w:szCs w:val="32"/>
        </w:rPr>
        <w:t>（2019年12月20日）</w:t>
      </w:r>
    </w:p>
    <w:bookmarkEnd w:id="0"/>
    <w:p>
      <w:pPr>
        <w:spacing w:line="46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lang w:eastAsia="zh-CN"/>
        </w:rPr>
        <w:t>广东省市场</w:t>
      </w:r>
      <w:r>
        <w:rPr>
          <w:rFonts w:hint="eastAsia" w:ascii="仿宋" w:hAnsi="仿宋" w:eastAsia="仿宋" w:cs="仿宋_GB2312"/>
          <w:sz w:val="28"/>
          <w:szCs w:val="28"/>
        </w:rPr>
        <w:t>监督管理局组织食品安全监督抽检，发现我区</w:t>
      </w:r>
      <w:r>
        <w:rPr>
          <w:rFonts w:hint="eastAsia" w:ascii="仿宋" w:hAnsi="仿宋" w:eastAsia="仿宋" w:cs="仿宋_GB2312"/>
          <w:sz w:val="28"/>
          <w:szCs w:val="28"/>
          <w:lang w:eastAsia="zh-CN"/>
        </w:rPr>
        <w:t>一</w:t>
      </w:r>
      <w:r>
        <w:rPr>
          <w:rFonts w:hint="eastAsia" w:ascii="仿宋" w:hAnsi="仿宋" w:eastAsia="仿宋" w:cs="仿宋_GB2312"/>
          <w:sz w:val="28"/>
          <w:szCs w:val="28"/>
        </w:rPr>
        <w:t>家食品经营单位销售的食品</w:t>
      </w:r>
      <w:r>
        <w:rPr>
          <w:rFonts w:hint="eastAsia" w:ascii="仿宋" w:hAnsi="仿宋" w:eastAsia="仿宋" w:cs="仿宋_GB2312"/>
          <w:sz w:val="28"/>
          <w:szCs w:val="28"/>
          <w:lang w:val="en-US" w:eastAsia="zh-CN"/>
        </w:rPr>
        <w:t>1批次</w:t>
      </w:r>
      <w:r>
        <w:rPr>
          <w:rFonts w:hint="eastAsia" w:ascii="仿宋" w:hAnsi="仿宋" w:eastAsia="仿宋" w:cs="仿宋_GB2312"/>
          <w:sz w:val="28"/>
          <w:szCs w:val="28"/>
        </w:rPr>
        <w:t>不合格，现将不合格食品核查处置情况通告如下：</w:t>
      </w:r>
    </w:p>
    <w:p>
      <w:pPr>
        <w:numPr>
          <w:numId w:val="0"/>
        </w:numPr>
        <w:spacing w:line="460" w:lineRule="exact"/>
        <w:ind w:firstLine="560" w:firstLineChars="200"/>
        <w:rPr>
          <w:rFonts w:hint="eastAsia" w:ascii="仿宋" w:hAnsi="仿宋" w:eastAsia="仿宋" w:cs="仿宋_GB2312"/>
          <w:sz w:val="28"/>
          <w:szCs w:val="28"/>
          <w:lang w:eastAsia="zh-CN"/>
        </w:rPr>
      </w:pPr>
      <w:r>
        <w:rPr>
          <w:rFonts w:hint="eastAsia" w:ascii="仿宋" w:hAnsi="仿宋" w:eastAsia="仿宋" w:cs="仿宋_GB2312"/>
          <w:sz w:val="28"/>
          <w:szCs w:val="28"/>
          <w:lang w:eastAsia="zh-CN"/>
        </w:rPr>
        <w:t>扁桃仁味牛轧沙琪玛，规格型号：120克/盒，商标：富崎乐®，生产日期：2019-05-23，标称生产者名称：东莞市比可万食品有限公司。</w:t>
      </w:r>
    </w:p>
    <w:p>
      <w:pPr>
        <w:spacing w:line="46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lang w:eastAsia="zh-CN"/>
        </w:rPr>
        <w:t>（一）</w:t>
      </w:r>
      <w:r>
        <w:rPr>
          <w:rFonts w:hint="eastAsia" w:ascii="仿宋" w:hAnsi="仿宋" w:eastAsia="仿宋" w:cs="仿宋_GB2312"/>
          <w:sz w:val="28"/>
          <w:szCs w:val="28"/>
        </w:rPr>
        <w:t>2019年8月29日，广东省市场监督管理局委托广东产品质量监督检验研究院对广州百佳超级市场有限公司江门汇悦城广场分店经营的扁桃仁味牛轧沙琪玛（生产日期2019年5月23日）进行抽样检验。</w:t>
      </w:r>
    </w:p>
    <w:p>
      <w:pPr>
        <w:spacing w:line="46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lang w:val="zh-CN"/>
        </w:rPr>
        <w:t>上述抽样检验发现上述批次的</w:t>
      </w:r>
      <w:r>
        <w:rPr>
          <w:rFonts w:hint="eastAsia" w:ascii="仿宋" w:hAnsi="仿宋" w:eastAsia="仿宋" w:cs="仿宋_GB2312"/>
          <w:sz w:val="28"/>
          <w:szCs w:val="28"/>
        </w:rPr>
        <w:t>扁桃仁味牛轧沙琪玛</w:t>
      </w:r>
      <w:r>
        <w:rPr>
          <w:rFonts w:hint="eastAsia" w:ascii="仿宋" w:hAnsi="仿宋" w:eastAsia="仿宋" w:cs="仿宋_GB2312"/>
          <w:sz w:val="28"/>
          <w:szCs w:val="28"/>
          <w:lang w:val="zh-CN"/>
        </w:rPr>
        <w:t>不合格，</w:t>
      </w:r>
      <w:r>
        <w:rPr>
          <w:rFonts w:hint="eastAsia" w:ascii="仿宋" w:hAnsi="仿宋" w:eastAsia="仿宋" w:cs="仿宋_GB2312"/>
          <w:sz w:val="28"/>
          <w:szCs w:val="28"/>
        </w:rPr>
        <w:t>检验报</w:t>
      </w:r>
      <w:r>
        <w:rPr>
          <w:rFonts w:hint="eastAsia" w:ascii="仿宋" w:hAnsi="仿宋" w:eastAsia="仿宋" w:cs="仿宋_GB2312"/>
          <w:sz w:val="28"/>
          <w:szCs w:val="28"/>
          <w:lang w:val="zh-CN"/>
        </w:rPr>
        <w:t>告（NO:SP1921341）</w:t>
      </w:r>
    </w:p>
    <w:p>
      <w:pPr>
        <w:numPr>
          <w:ilvl w:val="0"/>
          <w:numId w:val="1"/>
        </w:numPr>
        <w:autoSpaceDE w:val="0"/>
        <w:autoSpaceDN w:val="0"/>
        <w:adjustRightInd w:val="0"/>
        <w:spacing w:line="460" w:lineRule="exact"/>
        <w:ind w:right="140"/>
        <w:jc w:val="left"/>
        <w:rPr>
          <w:rFonts w:hint="eastAsia" w:ascii="仿宋" w:hAnsi="仿宋" w:eastAsia="仿宋" w:cs="仿宋_GB2312"/>
          <w:sz w:val="28"/>
          <w:szCs w:val="28"/>
        </w:rPr>
      </w:pPr>
      <w:r>
        <w:rPr>
          <w:rFonts w:hint="eastAsia" w:ascii="仿宋" w:hAnsi="仿宋" w:eastAsia="仿宋" w:cs="仿宋_GB2312"/>
          <w:sz w:val="28"/>
          <w:szCs w:val="28"/>
        </w:rPr>
        <w:t>经查明：涉案不合格批次扁桃仁味牛轧沙琪玛由广州百佳超级市场有限公司从广州市世纪同创商贸服务有限公司购进后分拨到你超市店，购货量为24盒，销售量为24盒。</w:t>
      </w:r>
    </w:p>
    <w:p>
      <w:pPr>
        <w:numPr>
          <w:numId w:val="0"/>
        </w:numPr>
        <w:autoSpaceDE w:val="0"/>
        <w:autoSpaceDN w:val="0"/>
        <w:adjustRightInd w:val="0"/>
        <w:spacing w:line="460" w:lineRule="exact"/>
        <w:ind w:right="140" w:rightChars="0"/>
        <w:jc w:val="left"/>
        <w:rPr>
          <w:rFonts w:hint="eastAsia"/>
          <w:sz w:val="32"/>
          <w:szCs w:val="32"/>
        </w:rPr>
      </w:pPr>
      <w:r>
        <w:rPr>
          <w:rFonts w:hint="eastAsia" w:ascii="仿宋" w:hAnsi="仿宋" w:eastAsia="仿宋" w:cs="仿宋_GB2312"/>
          <w:sz w:val="28"/>
          <w:szCs w:val="28"/>
        </w:rPr>
        <w:t>（三）你超市销售菌落总数项目不符合GB 7099-2015《食品安全国家标准 糕点 面包》要求的扁桃仁味牛轧沙琪玛的行为违反了《中华人民共和国食品安全法》第三十四条第（十三）项规定。根据《中华人民共和国食品安全法》第一百三十六条，</w:t>
      </w:r>
      <w:r>
        <w:rPr>
          <w:rFonts w:hint="eastAsia" w:ascii="仿宋" w:hAnsi="仿宋" w:eastAsia="仿宋" w:cs="仿宋_GB2312"/>
          <w:sz w:val="28"/>
          <w:szCs w:val="28"/>
        </w:rPr>
        <w:t>决定对当事人</w:t>
      </w:r>
      <w:r>
        <w:rPr>
          <w:rFonts w:hint="eastAsia" w:ascii="仿宋" w:hAnsi="仿宋" w:eastAsia="仿宋" w:cs="仿宋_GB2312"/>
          <w:sz w:val="28"/>
          <w:szCs w:val="28"/>
          <w:lang w:eastAsia="zh-CN"/>
        </w:rPr>
        <w:t>不</w:t>
      </w:r>
      <w:r>
        <w:rPr>
          <w:rFonts w:hint="eastAsia" w:ascii="仿宋" w:hAnsi="仿宋" w:eastAsia="仿宋" w:cs="仿宋_GB2312"/>
          <w:sz w:val="28"/>
          <w:szCs w:val="28"/>
        </w:rPr>
        <w:t>予行政处罚。（行政处罚决定书编号：蓬江市监不罚决〔2019〕56号</w:t>
      </w:r>
      <w:r>
        <w:rPr>
          <w:rFonts w:hint="eastAsia" w:ascii="仿宋" w:hAnsi="仿宋" w:eastAsia="仿宋" w:cs="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8240;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 w:hAnsi="仿宋" w:eastAsia="仿宋" w:cs="仿宋_GB2312"/>
          <w:sz w:val="28"/>
          <w:szCs w:val="28"/>
        </w:rPr>
        <w:t>）</w:t>
      </w:r>
    </w:p>
    <w:p>
      <w:pPr>
        <w:spacing w:line="460" w:lineRule="exact"/>
        <w:ind w:firstLine="560" w:firstLineChars="200"/>
        <w:rPr>
          <w:rFonts w:hint="eastAsia" w:ascii="仿宋" w:hAnsi="仿宋" w:eastAsia="仿宋" w:cs="仿宋_GB2312"/>
          <w:sz w:val="28"/>
          <w:szCs w:val="28"/>
        </w:rPr>
      </w:pPr>
    </w:p>
    <w:p>
      <w:pPr>
        <w:spacing w:line="460" w:lineRule="exact"/>
        <w:ind w:firstLine="4200" w:firstLineChars="1500"/>
        <w:rPr>
          <w:rFonts w:hint="eastAsia" w:ascii="仿宋" w:hAnsi="仿宋" w:eastAsia="仿宋" w:cs="仿宋_GB2312"/>
          <w:sz w:val="28"/>
          <w:szCs w:val="28"/>
        </w:rPr>
      </w:pPr>
      <w:r>
        <w:rPr>
          <w:rFonts w:hint="eastAsia" w:ascii="仿宋" w:hAnsi="仿宋" w:eastAsia="仿宋" w:cs="仿宋_GB2312"/>
          <w:sz w:val="28"/>
          <w:szCs w:val="28"/>
        </w:rPr>
        <w:t>江门市</w:t>
      </w:r>
      <w:r>
        <w:rPr>
          <w:rFonts w:hint="eastAsia" w:ascii="仿宋" w:hAnsi="仿宋" w:eastAsia="仿宋" w:cs="仿宋_GB2312"/>
          <w:sz w:val="28"/>
          <w:szCs w:val="28"/>
          <w:lang w:eastAsia="zh-CN"/>
        </w:rPr>
        <w:t>蓬江</w:t>
      </w:r>
      <w:r>
        <w:rPr>
          <w:rFonts w:hint="eastAsia" w:ascii="仿宋" w:hAnsi="仿宋" w:eastAsia="仿宋" w:cs="仿宋_GB2312"/>
          <w:sz w:val="28"/>
          <w:szCs w:val="28"/>
        </w:rPr>
        <w:t>区市场监督管理局</w:t>
      </w:r>
    </w:p>
    <w:p>
      <w:pPr>
        <w:spacing w:line="460" w:lineRule="exact"/>
        <w:ind w:firstLine="5320" w:firstLineChars="1900"/>
        <w:rPr>
          <w:rFonts w:hint="eastAsia" w:ascii="仿宋" w:hAnsi="仿宋" w:eastAsia="仿宋" w:cs="仿宋_GB2312"/>
          <w:sz w:val="28"/>
          <w:szCs w:val="28"/>
        </w:rPr>
      </w:pPr>
      <w:r>
        <w:rPr>
          <w:rFonts w:hint="eastAsia" w:ascii="仿宋" w:hAnsi="仿宋" w:eastAsia="仿宋" w:cs="仿宋_GB2312"/>
          <w:sz w:val="28"/>
          <w:szCs w:val="28"/>
        </w:rPr>
        <w:t>20</w:t>
      </w:r>
      <w:r>
        <w:rPr>
          <w:rFonts w:hint="eastAsia" w:ascii="仿宋" w:hAnsi="仿宋" w:eastAsia="仿宋" w:cs="仿宋_GB2312"/>
          <w:sz w:val="28"/>
          <w:szCs w:val="28"/>
          <w:lang w:val="en-US" w:eastAsia="zh-CN"/>
        </w:rPr>
        <w:t>19</w:t>
      </w:r>
      <w:r>
        <w:rPr>
          <w:rFonts w:hint="eastAsia" w:ascii="仿宋" w:hAnsi="仿宋" w:eastAsia="仿宋" w:cs="仿宋_GB2312"/>
          <w:sz w:val="28"/>
          <w:szCs w:val="28"/>
        </w:rPr>
        <w:t>年</w:t>
      </w:r>
      <w:r>
        <w:rPr>
          <w:rFonts w:hint="eastAsia" w:ascii="仿宋" w:hAnsi="仿宋" w:eastAsia="仿宋" w:cs="仿宋_GB2312"/>
          <w:sz w:val="28"/>
          <w:szCs w:val="28"/>
          <w:lang w:val="en-US" w:eastAsia="zh-CN"/>
        </w:rPr>
        <w:t>12</w:t>
      </w:r>
      <w:r>
        <w:rPr>
          <w:rFonts w:hint="eastAsia" w:ascii="仿宋" w:hAnsi="仿宋" w:eastAsia="仿宋" w:cs="仿宋_GB2312"/>
          <w:sz w:val="28"/>
          <w:szCs w:val="28"/>
        </w:rPr>
        <w:t>月</w:t>
      </w:r>
      <w:r>
        <w:rPr>
          <w:rFonts w:hint="eastAsia" w:ascii="仿宋" w:hAnsi="仿宋" w:eastAsia="仿宋" w:cs="仿宋_GB2312"/>
          <w:sz w:val="28"/>
          <w:szCs w:val="28"/>
          <w:lang w:val="en-US" w:eastAsia="zh-CN"/>
        </w:rPr>
        <w:t>20</w:t>
      </w:r>
      <w:r>
        <w:rPr>
          <w:rFonts w:hint="eastAsia" w:ascii="仿宋" w:hAnsi="仿宋" w:eastAsia="仿宋" w:cs="仿宋_GB2312"/>
          <w:sz w:val="28"/>
          <w:szCs w:val="28"/>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msicon">
    <w:altName w:val="Segoe Print"/>
    <w:panose1 w:val="00000000000000000000"/>
    <w:charset w:val="00"/>
    <w:family w:val="auto"/>
    <w:pitch w:val="default"/>
    <w:sig w:usb0="00000000" w:usb1="00000000" w:usb2="00000000" w:usb3="00000000" w:csb0="00000000" w:csb1="00000000"/>
  </w:font>
  <w:font w:name="socialshare">
    <w:altName w:val="Segoe Print"/>
    <w:panose1 w:val="00000000000000000000"/>
    <w:charset w:val="00"/>
    <w:family w:val="auto"/>
    <w:pitch w:val="default"/>
    <w:sig w:usb0="00000000" w:usb1="00000000" w:usb2="00000000" w:usb3="00000000" w:csb0="00000000" w:csb1="00000000"/>
  </w:font>
  <w:font w:name="publicicon">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647"/>
    <w:multiLevelType w:val="singleLevel"/>
    <w:tmpl w:val="0816564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A4995"/>
    <w:rsid w:val="14270ACF"/>
    <w:rsid w:val="19DA4995"/>
    <w:rsid w:val="5E692F61"/>
    <w:rsid w:val="62640429"/>
    <w:rsid w:val="7E752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Hyperlink"/>
    <w:basedOn w:val="4"/>
    <w:uiPriority w:val="0"/>
    <w:rPr>
      <w:color w:val="333333"/>
      <w:u w:val="none"/>
    </w:rPr>
  </w:style>
  <w:style w:type="character" w:styleId="7">
    <w:name w:val="HTML Code"/>
    <w:basedOn w:val="4"/>
    <w:uiPriority w:val="0"/>
    <w:rPr>
      <w:rFonts w:ascii="Courier New" w:hAnsi="Courier New"/>
      <w:sz w:val="20"/>
      <w:bdr w:val="none" w:color="auto" w:sz="0" w:space="0"/>
    </w:rPr>
  </w:style>
  <w:style w:type="paragraph" w:customStyle="1" w:styleId="8">
    <w:name w:val="列出段落1"/>
    <w:basedOn w:val="1"/>
    <w:qFormat/>
    <w:uiPriority w:val="34"/>
    <w:pPr>
      <w:ind w:firstLine="420" w:firstLineChars="200"/>
    </w:pPr>
  </w:style>
  <w:style w:type="character" w:customStyle="1" w:styleId="9">
    <w:name w:val="calendar-head__text-display"/>
    <w:basedOn w:val="4"/>
    <w:uiPriority w:val="0"/>
    <w:rPr>
      <w:vanish/>
    </w:rPr>
  </w:style>
  <w:style w:type="character" w:customStyle="1" w:styleId="10">
    <w:name w:val="calendar-head__next-range-btn"/>
    <w:basedOn w:val="4"/>
    <w:uiPriority w:val="0"/>
    <w:rPr>
      <w:vanish/>
    </w:rPr>
  </w:style>
  <w:style w:type="character" w:customStyle="1" w:styleId="11">
    <w:name w:val="calendar-head__next-month-btn"/>
    <w:basedOn w:val="4"/>
    <w:uiPriority w:val="0"/>
  </w:style>
  <w:style w:type="character" w:customStyle="1" w:styleId="12">
    <w:name w:val="active4"/>
    <w:basedOn w:val="4"/>
    <w:uiPriority w:val="0"/>
    <w:rPr>
      <w:color w:val="333333"/>
    </w:rPr>
  </w:style>
  <w:style w:type="character" w:customStyle="1" w:styleId="13">
    <w:name w:val="calendar-head__year-range"/>
    <w:basedOn w:val="4"/>
    <w:uiPriority w:val="0"/>
    <w:rPr>
      <w:vanish/>
    </w:rPr>
  </w:style>
  <w:style w:type="character" w:customStyle="1" w:styleId="14">
    <w:name w:val="hover2"/>
    <w:basedOn w:val="4"/>
    <w:uiPriority w:val="0"/>
    <w:rPr>
      <w:color w:val="2F6EA2"/>
    </w:rPr>
  </w:style>
  <w:style w:type="character" w:customStyle="1" w:styleId="15">
    <w:name w:val="calendar-head__prev-range-btn"/>
    <w:basedOn w:val="4"/>
    <w:uiPriority w:val="0"/>
    <w:rPr>
      <w:vanish/>
    </w:rPr>
  </w:style>
  <w:style w:type="character" w:customStyle="1" w:styleId="16">
    <w:name w:val="calendar-head__next-year-btn"/>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2020-10-17T01:28:00Z</dcterms:created>
  <dc:creator>Administrator</dc:creator>
  <cp:lastModifiedBy>Administrator</cp:lastModifiedBy>
  <dcterms:modified xsi:type="dcterms:W3CDTF">2020-10-17T03:30:33Z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