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18C" w:rsidRPr="000330C8" w:rsidRDefault="007E3CFB" w:rsidP="000330C8">
      <w:pPr>
        <w:jc w:val="center"/>
        <w:rPr>
          <w:rFonts w:ascii="方正小标宋简体" w:eastAsia="方正小标宋简体" w:hAnsi="仿宋" w:cs="方正小标宋简体"/>
          <w:kern w:val="0"/>
          <w:sz w:val="44"/>
          <w:szCs w:val="44"/>
        </w:rPr>
      </w:pPr>
      <w:r w:rsidRPr="008E0B2B">
        <w:rPr>
          <w:rFonts w:ascii="方正小标宋简体" w:eastAsia="方正小标宋简体" w:hAnsi="仿宋" w:cs="方正小标宋简体"/>
          <w:kern w:val="0"/>
          <w:sz w:val="44"/>
          <w:szCs w:val="44"/>
        </w:rPr>
        <w:t>江门市蓬江区审计局</w:t>
      </w:r>
      <w:r w:rsidRPr="008E0B2B">
        <w:rPr>
          <w:rFonts w:ascii="方正小标宋简体" w:eastAsia="方正小标宋简体" w:hAnsi="仿宋" w:cs="方正小标宋简体" w:hint="eastAsia"/>
          <w:kern w:val="0"/>
          <w:sz w:val="44"/>
          <w:szCs w:val="44"/>
        </w:rPr>
        <w:t>普法责任清单</w:t>
      </w:r>
      <w:r w:rsidR="00D3304B">
        <w:rPr>
          <w:rFonts w:ascii="方正小标宋简体" w:eastAsia="方正小标宋简体" w:hAnsi="仿宋" w:cs="方正小标宋简体" w:hint="eastAsia"/>
          <w:kern w:val="0"/>
          <w:sz w:val="44"/>
          <w:szCs w:val="44"/>
        </w:rPr>
        <w:t>（2021年）</w:t>
      </w:r>
    </w:p>
    <w:tbl>
      <w:tblPr>
        <w:tblStyle w:val="a3"/>
        <w:tblW w:w="14176" w:type="dxa"/>
        <w:tblInd w:w="-34" w:type="dxa"/>
        <w:tblLook w:val="04A0" w:firstRow="1" w:lastRow="0" w:firstColumn="1" w:lastColumn="0" w:noHBand="0" w:noVBand="1"/>
      </w:tblPr>
      <w:tblGrid>
        <w:gridCol w:w="3544"/>
        <w:gridCol w:w="1701"/>
        <w:gridCol w:w="2977"/>
        <w:gridCol w:w="5954"/>
      </w:tblGrid>
      <w:tr w:rsidR="00283420" w:rsidTr="005D70B0">
        <w:trPr>
          <w:trHeight w:val="475"/>
        </w:trPr>
        <w:tc>
          <w:tcPr>
            <w:tcW w:w="3544" w:type="dxa"/>
            <w:vAlign w:val="center"/>
          </w:tcPr>
          <w:p w:rsidR="00283420" w:rsidRPr="001805E2" w:rsidRDefault="00283420" w:rsidP="00FD2835">
            <w:pPr>
              <w:jc w:val="center"/>
              <w:rPr>
                <w:rFonts w:ascii="楷体_GB2312" w:eastAsia="楷体_GB2312"/>
                <w:sz w:val="28"/>
                <w:szCs w:val="28"/>
              </w:rPr>
            </w:pPr>
            <w:r w:rsidRPr="001805E2">
              <w:rPr>
                <w:rFonts w:ascii="楷体_GB2312" w:eastAsia="楷体_GB2312" w:hint="eastAsia"/>
                <w:sz w:val="28"/>
                <w:szCs w:val="28"/>
              </w:rPr>
              <w:t>普法内容</w:t>
            </w:r>
          </w:p>
        </w:tc>
        <w:tc>
          <w:tcPr>
            <w:tcW w:w="1701" w:type="dxa"/>
            <w:vAlign w:val="center"/>
          </w:tcPr>
          <w:p w:rsidR="00283420" w:rsidRPr="001805E2" w:rsidRDefault="00283420" w:rsidP="00FD2835">
            <w:pPr>
              <w:jc w:val="center"/>
              <w:rPr>
                <w:rFonts w:ascii="楷体_GB2312" w:eastAsia="楷体_GB2312"/>
                <w:sz w:val="28"/>
                <w:szCs w:val="28"/>
              </w:rPr>
            </w:pPr>
            <w:r w:rsidRPr="001805E2">
              <w:rPr>
                <w:rFonts w:ascii="楷体_GB2312" w:eastAsia="楷体_GB2312" w:hint="eastAsia"/>
                <w:sz w:val="28"/>
                <w:szCs w:val="28"/>
              </w:rPr>
              <w:t>普法对象</w:t>
            </w:r>
          </w:p>
        </w:tc>
        <w:tc>
          <w:tcPr>
            <w:tcW w:w="2977" w:type="dxa"/>
            <w:vAlign w:val="center"/>
          </w:tcPr>
          <w:p w:rsidR="00283420" w:rsidRPr="001805E2" w:rsidRDefault="00283420" w:rsidP="00FD2835">
            <w:pPr>
              <w:jc w:val="center"/>
              <w:rPr>
                <w:rFonts w:ascii="楷体_GB2312" w:eastAsia="楷体_GB2312"/>
                <w:sz w:val="28"/>
                <w:szCs w:val="28"/>
              </w:rPr>
            </w:pPr>
            <w:r w:rsidRPr="001805E2">
              <w:rPr>
                <w:rFonts w:ascii="楷体_GB2312" w:eastAsia="楷体_GB2312" w:hint="eastAsia"/>
                <w:sz w:val="28"/>
                <w:szCs w:val="28"/>
              </w:rPr>
              <w:t>普法目标</w:t>
            </w:r>
          </w:p>
        </w:tc>
        <w:tc>
          <w:tcPr>
            <w:tcW w:w="5954" w:type="dxa"/>
            <w:vAlign w:val="center"/>
          </w:tcPr>
          <w:p w:rsidR="00283420" w:rsidRPr="001805E2" w:rsidRDefault="00283420" w:rsidP="00FD2835">
            <w:pPr>
              <w:jc w:val="center"/>
              <w:rPr>
                <w:rFonts w:ascii="楷体_GB2312" w:eastAsia="楷体_GB2312"/>
                <w:sz w:val="28"/>
                <w:szCs w:val="28"/>
              </w:rPr>
            </w:pPr>
            <w:r w:rsidRPr="001805E2">
              <w:rPr>
                <w:rFonts w:ascii="楷体_GB2312" w:eastAsia="楷体_GB2312" w:hint="eastAsia"/>
                <w:sz w:val="28"/>
                <w:szCs w:val="28"/>
              </w:rPr>
              <w:t>具体举措</w:t>
            </w:r>
          </w:p>
        </w:tc>
      </w:tr>
      <w:tr w:rsidR="00283420" w:rsidTr="007E457B">
        <w:trPr>
          <w:trHeight w:val="3376"/>
        </w:trPr>
        <w:tc>
          <w:tcPr>
            <w:tcW w:w="3544" w:type="dxa"/>
            <w:vAlign w:val="center"/>
          </w:tcPr>
          <w:p w:rsidR="00283420" w:rsidRPr="007477CB" w:rsidRDefault="00283420" w:rsidP="00A75DB5">
            <w:pPr>
              <w:widowControl/>
              <w:wordWrap w:val="0"/>
              <w:rPr>
                <w:rFonts w:ascii="仿宋_GB2312" w:eastAsia="仿宋_GB2312" w:hAnsi="微软雅黑" w:cs="宋体"/>
                <w:color w:val="424242"/>
                <w:kern w:val="0"/>
                <w:sz w:val="24"/>
                <w:szCs w:val="24"/>
              </w:rPr>
            </w:pPr>
            <w:r w:rsidRPr="007477CB">
              <w:rPr>
                <w:rFonts w:ascii="仿宋_GB2312" w:eastAsia="仿宋_GB2312" w:hAnsi="微软雅黑" w:cs="宋体" w:hint="eastAsia"/>
                <w:color w:val="424242"/>
                <w:kern w:val="0"/>
                <w:sz w:val="24"/>
                <w:szCs w:val="24"/>
              </w:rPr>
              <w:t>1.深入学习宣传习近平新时代中国特色社会主义思想</w:t>
            </w:r>
            <w:r w:rsidR="00EB0C2A">
              <w:rPr>
                <w:rFonts w:ascii="仿宋_GB2312" w:eastAsia="仿宋_GB2312" w:hAnsi="微软雅黑" w:cs="宋体" w:hint="eastAsia"/>
                <w:color w:val="424242"/>
                <w:kern w:val="0"/>
                <w:sz w:val="24"/>
                <w:szCs w:val="24"/>
              </w:rPr>
              <w:t>，</w:t>
            </w:r>
            <w:r w:rsidRPr="007477CB">
              <w:rPr>
                <w:rFonts w:ascii="仿宋_GB2312" w:eastAsia="仿宋_GB2312" w:hAnsi="微软雅黑" w:cs="宋体" w:hint="eastAsia"/>
                <w:color w:val="424242"/>
                <w:kern w:val="0"/>
                <w:sz w:val="24"/>
                <w:szCs w:val="24"/>
              </w:rPr>
              <w:t>特别是习近平</w:t>
            </w:r>
            <w:r w:rsidR="00EB0C2A">
              <w:rPr>
                <w:rFonts w:ascii="仿宋_GB2312" w:eastAsia="仿宋_GB2312" w:hAnsi="微软雅黑" w:cs="宋体" w:hint="eastAsia"/>
                <w:color w:val="424242"/>
                <w:kern w:val="0"/>
                <w:sz w:val="24"/>
                <w:szCs w:val="24"/>
              </w:rPr>
              <w:t>法治思想</w:t>
            </w:r>
            <w:r w:rsidRPr="007477CB">
              <w:rPr>
                <w:rFonts w:ascii="仿宋_GB2312" w:eastAsia="仿宋_GB2312" w:hAnsi="微软雅黑" w:cs="宋体" w:hint="eastAsia"/>
                <w:color w:val="424242"/>
                <w:kern w:val="0"/>
                <w:sz w:val="24"/>
                <w:szCs w:val="24"/>
              </w:rPr>
              <w:t>;</w:t>
            </w:r>
          </w:p>
          <w:p w:rsidR="00283420" w:rsidRDefault="00283420" w:rsidP="00027D7A">
            <w:pPr>
              <w:widowControl/>
              <w:wordWrap w:val="0"/>
              <w:rPr>
                <w:rFonts w:ascii="仿宋_GB2312" w:eastAsia="仿宋_GB2312" w:hAnsi="微软雅黑" w:cs="宋体"/>
                <w:color w:val="424242"/>
                <w:kern w:val="0"/>
                <w:sz w:val="24"/>
                <w:szCs w:val="24"/>
              </w:rPr>
            </w:pPr>
            <w:r w:rsidRPr="007477CB">
              <w:rPr>
                <w:rFonts w:ascii="仿宋_GB2312" w:eastAsia="仿宋_GB2312" w:hAnsi="微软雅黑" w:cs="宋体" w:hint="eastAsia"/>
                <w:color w:val="424242"/>
                <w:kern w:val="0"/>
                <w:sz w:val="24"/>
                <w:szCs w:val="24"/>
              </w:rPr>
              <w:t>2.深入学习宣传中国特色社会主义法律体系</w:t>
            </w:r>
            <w:r w:rsidR="00EB0C2A">
              <w:rPr>
                <w:rFonts w:ascii="仿宋_GB2312" w:eastAsia="仿宋_GB2312" w:hAnsi="微软雅黑" w:cs="宋体" w:hint="eastAsia"/>
                <w:color w:val="424242"/>
                <w:kern w:val="0"/>
                <w:sz w:val="24"/>
                <w:szCs w:val="24"/>
              </w:rPr>
              <w:t>，突出学习宣传宪法和本部门职责相关的法律法规；</w:t>
            </w:r>
          </w:p>
          <w:p w:rsidR="00C07014" w:rsidRDefault="00C07014" w:rsidP="00027D7A">
            <w:pPr>
              <w:widowControl/>
              <w:wordWrap w:val="0"/>
              <w:rPr>
                <w:rFonts w:ascii="仿宋_GB2312" w:eastAsia="仿宋_GB2312" w:hAnsi="微软雅黑" w:cs="宋体"/>
                <w:color w:val="424242"/>
                <w:kern w:val="0"/>
                <w:sz w:val="24"/>
                <w:szCs w:val="24"/>
              </w:rPr>
            </w:pPr>
            <w:r>
              <w:rPr>
                <w:rFonts w:ascii="仿宋_GB2312" w:eastAsia="仿宋_GB2312" w:hAnsi="微软雅黑" w:cs="宋体" w:hint="eastAsia"/>
                <w:color w:val="424242"/>
                <w:kern w:val="0"/>
                <w:sz w:val="24"/>
                <w:szCs w:val="24"/>
              </w:rPr>
              <w:t>3.</w:t>
            </w:r>
            <w:r w:rsidR="00EC6369">
              <w:rPr>
                <w:rFonts w:ascii="仿宋_GB2312" w:eastAsia="仿宋_GB2312" w:hAnsi="微软雅黑" w:cs="宋体" w:hint="eastAsia"/>
                <w:color w:val="424242"/>
                <w:kern w:val="0"/>
                <w:sz w:val="24"/>
                <w:szCs w:val="24"/>
              </w:rPr>
              <w:t>深入学习宣传“一规划两纲要”；</w:t>
            </w:r>
          </w:p>
          <w:p w:rsidR="00EC6369" w:rsidRPr="00283420" w:rsidRDefault="00EC6369" w:rsidP="00027D7A">
            <w:pPr>
              <w:widowControl/>
              <w:wordWrap w:val="0"/>
              <w:rPr>
                <w:rFonts w:ascii="仿宋_GB2312" w:eastAsia="仿宋_GB2312" w:hAnsi="微软雅黑" w:cs="宋体"/>
                <w:color w:val="424242"/>
                <w:kern w:val="0"/>
                <w:sz w:val="24"/>
                <w:szCs w:val="24"/>
              </w:rPr>
            </w:pPr>
            <w:r>
              <w:rPr>
                <w:rFonts w:ascii="仿宋_GB2312" w:eastAsia="仿宋_GB2312" w:hAnsi="微软雅黑" w:cs="宋体" w:hint="eastAsia"/>
                <w:color w:val="424242"/>
                <w:kern w:val="0"/>
                <w:sz w:val="24"/>
                <w:szCs w:val="24"/>
              </w:rPr>
              <w:t>4.深入学习宣传党内法规。</w:t>
            </w:r>
          </w:p>
        </w:tc>
        <w:tc>
          <w:tcPr>
            <w:tcW w:w="1701" w:type="dxa"/>
            <w:vAlign w:val="center"/>
          </w:tcPr>
          <w:p w:rsidR="00283420" w:rsidRDefault="0026182F" w:rsidP="00FD2835">
            <w:pPr>
              <w:jc w:val="center"/>
              <w:rPr>
                <w:rFonts w:ascii="仿宋_GB2312" w:eastAsia="仿宋_GB2312" w:hAnsi="微软雅黑" w:cs="宋体"/>
                <w:color w:val="424242"/>
                <w:kern w:val="0"/>
                <w:sz w:val="24"/>
                <w:szCs w:val="24"/>
              </w:rPr>
            </w:pPr>
            <w:r>
              <w:rPr>
                <w:rFonts w:ascii="仿宋_GB2312" w:eastAsia="仿宋_GB2312" w:hAnsi="微软雅黑" w:cs="宋体"/>
                <w:color w:val="424242"/>
                <w:kern w:val="0"/>
                <w:sz w:val="24"/>
                <w:szCs w:val="24"/>
              </w:rPr>
              <w:t>审计干部</w:t>
            </w:r>
          </w:p>
          <w:p w:rsidR="0026182F" w:rsidRPr="00283420" w:rsidRDefault="0026182F" w:rsidP="00FD2835">
            <w:pPr>
              <w:jc w:val="center"/>
              <w:rPr>
                <w:rFonts w:ascii="仿宋_GB2312" w:eastAsia="仿宋_GB2312" w:hAnsi="微软雅黑" w:cs="宋体"/>
                <w:color w:val="424242"/>
                <w:kern w:val="0"/>
                <w:sz w:val="24"/>
                <w:szCs w:val="24"/>
              </w:rPr>
            </w:pPr>
            <w:r>
              <w:rPr>
                <w:rFonts w:ascii="仿宋_GB2312" w:eastAsia="仿宋_GB2312" w:hAnsi="微软雅黑" w:cs="宋体" w:hint="eastAsia"/>
                <w:color w:val="424242"/>
                <w:kern w:val="0"/>
                <w:sz w:val="24"/>
                <w:szCs w:val="24"/>
              </w:rPr>
              <w:t>社会公众</w:t>
            </w:r>
          </w:p>
        </w:tc>
        <w:tc>
          <w:tcPr>
            <w:tcW w:w="2977" w:type="dxa"/>
            <w:vAlign w:val="center"/>
          </w:tcPr>
          <w:p w:rsidR="00283420" w:rsidRPr="00283420" w:rsidRDefault="00283420" w:rsidP="007804AD">
            <w:pPr>
              <w:rPr>
                <w:rFonts w:ascii="仿宋_GB2312" w:eastAsia="仿宋_GB2312" w:hAnsi="微软雅黑" w:cs="宋体"/>
                <w:color w:val="424242"/>
                <w:kern w:val="0"/>
                <w:sz w:val="24"/>
                <w:szCs w:val="24"/>
              </w:rPr>
            </w:pPr>
            <w:r w:rsidRPr="007477CB">
              <w:rPr>
                <w:rFonts w:ascii="仿宋_GB2312" w:eastAsia="仿宋_GB2312" w:hAnsi="微软雅黑" w:cs="宋体" w:hint="eastAsia"/>
                <w:color w:val="424242"/>
                <w:kern w:val="0"/>
                <w:sz w:val="24"/>
                <w:szCs w:val="24"/>
              </w:rPr>
              <w:t>提高全民法治意识，在全社会形成</w:t>
            </w:r>
            <w:r w:rsidR="007804AD">
              <w:rPr>
                <w:rFonts w:ascii="仿宋_GB2312" w:eastAsia="仿宋_GB2312" w:hAnsi="微软雅黑" w:cs="宋体" w:hint="eastAsia"/>
                <w:color w:val="424242"/>
                <w:kern w:val="0"/>
                <w:sz w:val="24"/>
                <w:szCs w:val="24"/>
              </w:rPr>
              <w:t>“</w:t>
            </w:r>
            <w:r w:rsidR="007804AD" w:rsidRPr="007477CB">
              <w:rPr>
                <w:rFonts w:ascii="仿宋_GB2312" w:eastAsia="仿宋_GB2312" w:hAnsi="微软雅黑" w:cs="宋体" w:hint="eastAsia"/>
                <w:color w:val="424242"/>
                <w:kern w:val="0"/>
                <w:sz w:val="24"/>
                <w:szCs w:val="24"/>
              </w:rPr>
              <w:t>尊法学法守法用法</w:t>
            </w:r>
            <w:r w:rsidR="007804AD">
              <w:rPr>
                <w:rFonts w:ascii="仿宋_GB2312" w:eastAsia="仿宋_GB2312" w:hAnsi="微软雅黑" w:cs="宋体" w:hint="eastAsia"/>
                <w:color w:val="424242"/>
                <w:kern w:val="0"/>
                <w:sz w:val="24"/>
                <w:szCs w:val="24"/>
              </w:rPr>
              <w:t>”</w:t>
            </w:r>
            <w:r w:rsidRPr="007477CB">
              <w:rPr>
                <w:rFonts w:ascii="仿宋_GB2312" w:eastAsia="仿宋_GB2312" w:hAnsi="微软雅黑" w:cs="宋体" w:hint="eastAsia"/>
                <w:color w:val="424242"/>
                <w:kern w:val="0"/>
                <w:sz w:val="24"/>
                <w:szCs w:val="24"/>
              </w:rPr>
              <w:t>的良好氛围。</w:t>
            </w:r>
          </w:p>
        </w:tc>
        <w:tc>
          <w:tcPr>
            <w:tcW w:w="5954" w:type="dxa"/>
            <w:vAlign w:val="center"/>
          </w:tcPr>
          <w:p w:rsidR="00283420" w:rsidRPr="00283420" w:rsidRDefault="00283420" w:rsidP="0026182F">
            <w:pPr>
              <w:rPr>
                <w:rFonts w:ascii="仿宋_GB2312" w:eastAsia="仿宋_GB2312"/>
                <w:sz w:val="24"/>
                <w:szCs w:val="24"/>
              </w:rPr>
            </w:pPr>
            <w:r w:rsidRPr="007477CB">
              <w:rPr>
                <w:rFonts w:ascii="仿宋_GB2312" w:eastAsia="仿宋_GB2312" w:hAnsi="微软雅黑" w:cs="宋体" w:hint="eastAsia"/>
                <w:color w:val="424242"/>
                <w:kern w:val="0"/>
                <w:sz w:val="24"/>
                <w:szCs w:val="24"/>
              </w:rPr>
              <w:t>1.组织开展</w:t>
            </w:r>
            <w:r w:rsidR="0026182F">
              <w:rPr>
                <w:rFonts w:ascii="仿宋_GB2312" w:eastAsia="仿宋_GB2312" w:hAnsi="微软雅黑" w:cs="宋体" w:hint="eastAsia"/>
                <w:color w:val="424242"/>
                <w:kern w:val="0"/>
                <w:sz w:val="24"/>
                <w:szCs w:val="24"/>
              </w:rPr>
              <w:t>“12</w:t>
            </w:r>
            <w:r w:rsidR="0026182F" w:rsidRPr="009267AF">
              <w:rPr>
                <w:rFonts w:ascii="宋体" w:eastAsia="宋体" w:hAnsi="宋体" w:cs="宋体"/>
                <w:kern w:val="0"/>
                <w:szCs w:val="21"/>
              </w:rPr>
              <w:t>·</w:t>
            </w:r>
            <w:r w:rsidR="0026182F" w:rsidRPr="0026182F">
              <w:rPr>
                <w:rFonts w:ascii="仿宋_GB2312" w:eastAsia="仿宋_GB2312" w:hAnsi="微软雅黑" w:cs="宋体" w:hint="eastAsia"/>
                <w:color w:val="424242"/>
                <w:kern w:val="0"/>
                <w:sz w:val="24"/>
                <w:szCs w:val="24"/>
              </w:rPr>
              <w:t>4</w:t>
            </w:r>
            <w:r w:rsidR="0026182F">
              <w:rPr>
                <w:rFonts w:ascii="仿宋_GB2312" w:eastAsia="仿宋_GB2312" w:hAnsi="微软雅黑" w:cs="宋体" w:hint="eastAsia"/>
                <w:color w:val="424242"/>
                <w:kern w:val="0"/>
                <w:sz w:val="24"/>
                <w:szCs w:val="24"/>
              </w:rPr>
              <w:t>”国家宪法日和“宪法宣传周”集中宣传活动</w:t>
            </w:r>
            <w:r w:rsidRPr="007477CB">
              <w:rPr>
                <w:rFonts w:ascii="仿宋_GB2312" w:eastAsia="仿宋_GB2312" w:hAnsi="微软雅黑" w:cs="宋体" w:hint="eastAsia"/>
                <w:color w:val="424242"/>
                <w:kern w:val="0"/>
                <w:sz w:val="24"/>
                <w:szCs w:val="24"/>
              </w:rPr>
              <w:t>;积极参与全国普法办和省、市</w:t>
            </w:r>
            <w:r>
              <w:rPr>
                <w:rFonts w:ascii="仿宋_GB2312" w:eastAsia="仿宋_GB2312" w:hAnsi="微软雅黑" w:cs="宋体" w:hint="eastAsia"/>
                <w:color w:val="424242"/>
                <w:kern w:val="0"/>
                <w:sz w:val="24"/>
                <w:szCs w:val="24"/>
              </w:rPr>
              <w:t>、区</w:t>
            </w:r>
            <w:r w:rsidR="002650B3">
              <w:rPr>
                <w:rFonts w:ascii="仿宋_GB2312" w:eastAsia="仿宋_GB2312" w:hAnsi="微软雅黑" w:cs="宋体" w:hint="eastAsia"/>
                <w:color w:val="424242"/>
                <w:kern w:val="0"/>
                <w:sz w:val="24"/>
                <w:szCs w:val="24"/>
              </w:rPr>
              <w:t>普法办组织开展的法治宣传教育活动和社会公益普法活动</w:t>
            </w:r>
            <w:r w:rsidR="00852113">
              <w:rPr>
                <w:rFonts w:ascii="仿宋_GB2312" w:eastAsia="仿宋_GB2312" w:hAnsi="微软雅黑" w:cs="宋体" w:hint="eastAsia"/>
                <w:color w:val="424242"/>
                <w:kern w:val="0"/>
                <w:sz w:val="24"/>
                <w:szCs w:val="24"/>
              </w:rPr>
              <w:t>；</w:t>
            </w:r>
            <w:r w:rsidR="00CF6AA4">
              <w:rPr>
                <w:rFonts w:ascii="仿宋_GB2312" w:eastAsia="仿宋_GB2312" w:hAnsi="微软雅黑" w:cs="宋体" w:hint="eastAsia"/>
                <w:color w:val="424242"/>
                <w:kern w:val="0"/>
                <w:sz w:val="24"/>
                <w:szCs w:val="24"/>
              </w:rPr>
              <w:br/>
            </w:r>
            <w:r w:rsidRPr="007477CB">
              <w:rPr>
                <w:rFonts w:ascii="仿宋_GB2312" w:eastAsia="仿宋_GB2312" w:hAnsi="微软雅黑" w:cs="宋体" w:hint="eastAsia"/>
                <w:color w:val="424242"/>
                <w:kern w:val="0"/>
                <w:sz w:val="24"/>
                <w:szCs w:val="24"/>
              </w:rPr>
              <w:t>2.</w:t>
            </w:r>
            <w:r w:rsidR="0026182F">
              <w:rPr>
                <w:rFonts w:ascii="仿宋_GB2312" w:eastAsia="仿宋_GB2312" w:hAnsi="微软雅黑" w:cs="宋体" w:hint="eastAsia"/>
                <w:color w:val="424242"/>
                <w:kern w:val="0"/>
                <w:sz w:val="24"/>
                <w:szCs w:val="24"/>
              </w:rPr>
              <w:t>联合社区开展法治宣传教育活动和社会公益普法活动，坚持正面阐释与生动故事描写相结合向群众宣传法治思想和相关法律法规，进一步强化其法治思维、法治意识，营造法治政府建设良好氛围</w:t>
            </w:r>
            <w:r w:rsidRPr="007477CB">
              <w:rPr>
                <w:rFonts w:ascii="仿宋_GB2312" w:eastAsia="仿宋_GB2312" w:hAnsi="微软雅黑" w:cs="宋体" w:hint="eastAsia"/>
                <w:color w:val="424242"/>
                <w:kern w:val="0"/>
                <w:sz w:val="24"/>
                <w:szCs w:val="24"/>
              </w:rPr>
              <w:t>。</w:t>
            </w:r>
          </w:p>
        </w:tc>
      </w:tr>
      <w:tr w:rsidR="00283420" w:rsidTr="007E457B">
        <w:trPr>
          <w:trHeight w:val="3102"/>
        </w:trPr>
        <w:tc>
          <w:tcPr>
            <w:tcW w:w="3544" w:type="dxa"/>
            <w:vAlign w:val="center"/>
          </w:tcPr>
          <w:p w:rsidR="00283420" w:rsidRPr="00A75DB5" w:rsidRDefault="00772B22" w:rsidP="002C1939">
            <w:pPr>
              <w:rPr>
                <w:rFonts w:ascii="微软雅黑" w:eastAsia="微软雅黑" w:hAnsi="微软雅黑" w:cs="宋体"/>
                <w:color w:val="424242"/>
                <w:kern w:val="0"/>
                <w:sz w:val="27"/>
                <w:szCs w:val="27"/>
              </w:rPr>
            </w:pPr>
            <w:r>
              <w:rPr>
                <w:rFonts w:ascii="仿宋_GB2312" w:eastAsia="仿宋_GB2312" w:hAnsi="微软雅黑" w:cs="宋体"/>
                <w:color w:val="424242"/>
                <w:kern w:val="0"/>
                <w:sz w:val="24"/>
                <w:szCs w:val="24"/>
              </w:rPr>
              <w:t>重点宣传</w:t>
            </w:r>
            <w:r w:rsidR="0026182F">
              <w:rPr>
                <w:rFonts w:ascii="仿宋_GB2312" w:eastAsia="仿宋_GB2312" w:hAnsi="微软雅黑" w:cs="宋体" w:hint="eastAsia"/>
                <w:color w:val="424242"/>
                <w:kern w:val="0"/>
                <w:sz w:val="24"/>
                <w:szCs w:val="24"/>
              </w:rPr>
              <w:t>《审计法》《广东省部门和单位内部管理的领导干部经济责任审计办法（试行）》《</w:t>
            </w:r>
            <w:r w:rsidR="007B5550">
              <w:rPr>
                <w:rFonts w:ascii="仿宋_GB2312" w:eastAsia="仿宋_GB2312" w:hAnsi="微软雅黑" w:cs="宋体" w:hint="eastAsia"/>
                <w:color w:val="424242"/>
                <w:kern w:val="0"/>
                <w:sz w:val="24"/>
                <w:szCs w:val="24"/>
              </w:rPr>
              <w:t>审计法实施条例</w:t>
            </w:r>
            <w:r w:rsidR="0026182F">
              <w:rPr>
                <w:rFonts w:ascii="仿宋_GB2312" w:eastAsia="仿宋_GB2312" w:hAnsi="微软雅黑" w:cs="宋体" w:hint="eastAsia"/>
                <w:color w:val="424242"/>
                <w:kern w:val="0"/>
                <w:sz w:val="24"/>
                <w:szCs w:val="24"/>
              </w:rPr>
              <w:t>》</w:t>
            </w:r>
            <w:r w:rsidR="007B5550">
              <w:rPr>
                <w:rFonts w:ascii="仿宋_GB2312" w:eastAsia="仿宋_GB2312" w:hAnsi="微软雅黑" w:cs="宋体" w:hint="eastAsia"/>
                <w:color w:val="424242"/>
                <w:kern w:val="0"/>
                <w:sz w:val="24"/>
                <w:szCs w:val="24"/>
              </w:rPr>
              <w:t>《国家审计准则》等与审计工作相关的法律、法规和规章。</w:t>
            </w:r>
          </w:p>
        </w:tc>
        <w:tc>
          <w:tcPr>
            <w:tcW w:w="1701" w:type="dxa"/>
            <w:vAlign w:val="center"/>
          </w:tcPr>
          <w:p w:rsidR="007B5550" w:rsidRDefault="007B5550" w:rsidP="00FD2835">
            <w:pPr>
              <w:jc w:val="center"/>
              <w:rPr>
                <w:rFonts w:ascii="仿宋_GB2312" w:eastAsia="仿宋_GB2312" w:hAnsi="微软雅黑" w:cs="宋体"/>
                <w:color w:val="424242"/>
                <w:kern w:val="0"/>
                <w:sz w:val="24"/>
                <w:szCs w:val="24"/>
              </w:rPr>
            </w:pPr>
            <w:r>
              <w:rPr>
                <w:rFonts w:ascii="仿宋_GB2312" w:eastAsia="仿宋_GB2312" w:hAnsi="微软雅黑" w:cs="宋体" w:hint="eastAsia"/>
                <w:color w:val="424242"/>
                <w:kern w:val="0"/>
                <w:sz w:val="24"/>
                <w:szCs w:val="24"/>
              </w:rPr>
              <w:t>审计干部</w:t>
            </w:r>
          </w:p>
          <w:p w:rsidR="00283420" w:rsidRDefault="00FA621A" w:rsidP="00FD2835">
            <w:pPr>
              <w:jc w:val="center"/>
              <w:rPr>
                <w:rFonts w:ascii="仿宋_GB2312" w:eastAsia="仿宋_GB2312" w:hAnsi="微软雅黑" w:cs="宋体"/>
                <w:color w:val="424242"/>
                <w:kern w:val="0"/>
                <w:sz w:val="24"/>
                <w:szCs w:val="24"/>
              </w:rPr>
            </w:pPr>
            <w:r>
              <w:rPr>
                <w:rFonts w:ascii="仿宋_GB2312" w:eastAsia="仿宋_GB2312" w:hAnsi="微软雅黑" w:cs="宋体"/>
                <w:color w:val="424242"/>
                <w:kern w:val="0"/>
                <w:sz w:val="24"/>
                <w:szCs w:val="24"/>
              </w:rPr>
              <w:t>被审计单位</w:t>
            </w:r>
          </w:p>
          <w:p w:rsidR="007B5550" w:rsidRPr="00283420" w:rsidRDefault="007B5550" w:rsidP="00FD2835">
            <w:pPr>
              <w:jc w:val="center"/>
              <w:rPr>
                <w:rFonts w:ascii="仿宋_GB2312" w:eastAsia="仿宋_GB2312" w:hAnsi="微软雅黑" w:cs="宋体"/>
                <w:color w:val="424242"/>
                <w:kern w:val="0"/>
                <w:sz w:val="24"/>
                <w:szCs w:val="24"/>
              </w:rPr>
            </w:pPr>
            <w:r>
              <w:rPr>
                <w:rFonts w:ascii="仿宋_GB2312" w:eastAsia="仿宋_GB2312" w:hAnsi="微软雅黑" w:cs="宋体" w:hint="eastAsia"/>
                <w:color w:val="424242"/>
                <w:kern w:val="0"/>
                <w:sz w:val="24"/>
                <w:szCs w:val="24"/>
              </w:rPr>
              <w:t>社会公众</w:t>
            </w:r>
          </w:p>
        </w:tc>
        <w:tc>
          <w:tcPr>
            <w:tcW w:w="2977" w:type="dxa"/>
            <w:vAlign w:val="center"/>
          </w:tcPr>
          <w:p w:rsidR="00283420" w:rsidRPr="00A75DB5" w:rsidRDefault="007B5550" w:rsidP="007B5550">
            <w:pPr>
              <w:rPr>
                <w:rFonts w:ascii="仿宋_GB2312" w:eastAsia="仿宋_GB2312" w:hAnsi="微软雅黑" w:cs="宋体"/>
                <w:color w:val="424242"/>
                <w:kern w:val="0"/>
                <w:sz w:val="24"/>
                <w:szCs w:val="24"/>
              </w:rPr>
            </w:pPr>
            <w:r>
              <w:rPr>
                <w:rFonts w:ascii="仿宋_GB2312" w:eastAsia="仿宋_GB2312" w:hAnsi="微软雅黑" w:cs="宋体" w:hint="eastAsia"/>
                <w:color w:val="424242"/>
                <w:kern w:val="0"/>
                <w:sz w:val="24"/>
                <w:szCs w:val="24"/>
              </w:rPr>
              <w:t>审计干部进一步明确审计监督范围职权，规范审计行为，提高审计工作的质量和水平；</w:t>
            </w:r>
            <w:r w:rsidR="00FA621A">
              <w:rPr>
                <w:rFonts w:ascii="仿宋_GB2312" w:eastAsia="仿宋_GB2312" w:hAnsi="微软雅黑" w:cs="宋体"/>
                <w:color w:val="424242"/>
                <w:kern w:val="0"/>
                <w:sz w:val="24"/>
                <w:szCs w:val="24"/>
              </w:rPr>
              <w:t>提高被审计单位</w:t>
            </w:r>
            <w:r>
              <w:rPr>
                <w:rFonts w:ascii="仿宋_GB2312" w:eastAsia="仿宋_GB2312" w:hAnsi="微软雅黑" w:cs="宋体" w:hint="eastAsia"/>
                <w:color w:val="424242"/>
                <w:kern w:val="0"/>
                <w:sz w:val="24"/>
                <w:szCs w:val="24"/>
              </w:rPr>
              <w:t>、</w:t>
            </w:r>
            <w:r>
              <w:rPr>
                <w:rFonts w:ascii="仿宋_GB2312" w:eastAsia="仿宋_GB2312" w:hAnsi="微软雅黑" w:cs="宋体"/>
                <w:color w:val="424242"/>
                <w:kern w:val="0"/>
                <w:sz w:val="24"/>
                <w:szCs w:val="24"/>
              </w:rPr>
              <w:t>社会公众</w:t>
            </w:r>
            <w:r w:rsidR="00FA621A">
              <w:rPr>
                <w:rFonts w:ascii="仿宋_GB2312" w:eastAsia="仿宋_GB2312" w:hAnsi="微软雅黑" w:cs="宋体"/>
                <w:color w:val="424242"/>
                <w:kern w:val="0"/>
                <w:sz w:val="24"/>
                <w:szCs w:val="24"/>
              </w:rPr>
              <w:t>对国家审计工作的认识</w:t>
            </w:r>
            <w:r w:rsidR="00FA621A">
              <w:rPr>
                <w:rFonts w:ascii="仿宋_GB2312" w:eastAsia="仿宋_GB2312" w:hAnsi="微软雅黑" w:cs="宋体" w:hint="eastAsia"/>
                <w:color w:val="424242"/>
                <w:kern w:val="0"/>
                <w:sz w:val="24"/>
                <w:szCs w:val="24"/>
              </w:rPr>
              <w:t>，</w:t>
            </w:r>
            <w:r w:rsidR="00FA621A">
              <w:rPr>
                <w:rFonts w:ascii="仿宋_GB2312" w:eastAsia="仿宋_GB2312" w:hAnsi="微软雅黑" w:cs="宋体"/>
                <w:color w:val="424242"/>
                <w:kern w:val="0"/>
                <w:sz w:val="24"/>
                <w:szCs w:val="24"/>
              </w:rPr>
              <w:t>促进</w:t>
            </w:r>
            <w:r>
              <w:rPr>
                <w:rFonts w:ascii="仿宋_GB2312" w:eastAsia="仿宋_GB2312" w:hAnsi="微软雅黑" w:cs="宋体"/>
                <w:color w:val="424242"/>
                <w:kern w:val="0"/>
                <w:sz w:val="24"/>
                <w:szCs w:val="24"/>
              </w:rPr>
              <w:t>被审计单位</w:t>
            </w:r>
            <w:r w:rsidR="00FA621A">
              <w:rPr>
                <w:rFonts w:ascii="仿宋_GB2312" w:eastAsia="仿宋_GB2312" w:hAnsi="微软雅黑" w:cs="宋体"/>
                <w:color w:val="424242"/>
                <w:kern w:val="0"/>
                <w:sz w:val="24"/>
                <w:szCs w:val="24"/>
              </w:rPr>
              <w:t>规范自身的财政收支</w:t>
            </w:r>
            <w:r w:rsidR="00FA621A">
              <w:rPr>
                <w:rFonts w:ascii="仿宋_GB2312" w:eastAsia="仿宋_GB2312" w:hAnsi="微软雅黑" w:cs="宋体" w:hint="eastAsia"/>
                <w:color w:val="424242"/>
                <w:kern w:val="0"/>
                <w:sz w:val="24"/>
                <w:szCs w:val="24"/>
              </w:rPr>
              <w:t>、</w:t>
            </w:r>
            <w:r w:rsidR="00FA621A">
              <w:rPr>
                <w:rFonts w:ascii="仿宋_GB2312" w:eastAsia="仿宋_GB2312" w:hAnsi="微软雅黑" w:cs="宋体"/>
                <w:color w:val="424242"/>
                <w:kern w:val="0"/>
                <w:sz w:val="24"/>
                <w:szCs w:val="24"/>
              </w:rPr>
              <w:t>财务收支行为</w:t>
            </w:r>
            <w:r w:rsidR="00FA621A">
              <w:rPr>
                <w:rFonts w:ascii="仿宋_GB2312" w:eastAsia="仿宋_GB2312" w:hAnsi="微软雅黑" w:cs="宋体" w:hint="eastAsia"/>
                <w:color w:val="424242"/>
                <w:kern w:val="0"/>
                <w:sz w:val="24"/>
                <w:szCs w:val="24"/>
              </w:rPr>
              <w:t>，</w:t>
            </w:r>
            <w:r w:rsidR="00FA621A">
              <w:rPr>
                <w:rFonts w:ascii="仿宋_GB2312" w:eastAsia="仿宋_GB2312" w:hAnsi="微软雅黑" w:cs="宋体"/>
                <w:color w:val="424242"/>
                <w:kern w:val="0"/>
                <w:sz w:val="24"/>
                <w:szCs w:val="24"/>
              </w:rPr>
              <w:t>积极贯彻落实国家和地方的相关政策措施</w:t>
            </w:r>
            <w:r w:rsidR="00FA621A">
              <w:rPr>
                <w:rFonts w:ascii="仿宋_GB2312" w:eastAsia="仿宋_GB2312" w:hAnsi="微软雅黑" w:cs="宋体" w:hint="eastAsia"/>
                <w:color w:val="424242"/>
                <w:kern w:val="0"/>
                <w:sz w:val="24"/>
                <w:szCs w:val="24"/>
              </w:rPr>
              <w:t>，</w:t>
            </w:r>
            <w:r>
              <w:rPr>
                <w:rFonts w:ascii="仿宋_GB2312" w:eastAsia="仿宋_GB2312" w:hAnsi="微软雅黑" w:cs="宋体"/>
                <w:color w:val="424242"/>
                <w:kern w:val="0"/>
                <w:sz w:val="24"/>
                <w:szCs w:val="24"/>
              </w:rPr>
              <w:t>更好地</w:t>
            </w:r>
            <w:r w:rsidR="00FA621A">
              <w:rPr>
                <w:rFonts w:ascii="仿宋_GB2312" w:eastAsia="仿宋_GB2312" w:hAnsi="微软雅黑" w:cs="宋体"/>
                <w:color w:val="424242"/>
                <w:kern w:val="0"/>
                <w:sz w:val="24"/>
                <w:szCs w:val="24"/>
              </w:rPr>
              <w:t>服务地方发展</w:t>
            </w:r>
            <w:r w:rsidR="00FA621A">
              <w:rPr>
                <w:rFonts w:ascii="仿宋_GB2312" w:eastAsia="仿宋_GB2312" w:hAnsi="微软雅黑" w:cs="宋体" w:hint="eastAsia"/>
                <w:color w:val="424242"/>
                <w:kern w:val="0"/>
                <w:sz w:val="24"/>
                <w:szCs w:val="24"/>
              </w:rPr>
              <w:t>。</w:t>
            </w:r>
          </w:p>
        </w:tc>
        <w:tc>
          <w:tcPr>
            <w:tcW w:w="5954" w:type="dxa"/>
            <w:vAlign w:val="center"/>
          </w:tcPr>
          <w:p w:rsidR="00283420" w:rsidRDefault="006B0883" w:rsidP="00A770E0">
            <w:pPr>
              <w:rPr>
                <w:rFonts w:ascii="仿宋_GB2312" w:eastAsia="仿宋_GB2312" w:hAnsi="微软雅黑" w:cs="宋体"/>
                <w:color w:val="424242"/>
                <w:kern w:val="0"/>
                <w:sz w:val="24"/>
                <w:szCs w:val="24"/>
              </w:rPr>
            </w:pPr>
            <w:r>
              <w:rPr>
                <w:rFonts w:ascii="仿宋_GB2312" w:eastAsia="仿宋_GB2312" w:hAnsi="微软雅黑" w:cs="宋体" w:hint="eastAsia"/>
                <w:color w:val="424242"/>
                <w:kern w:val="0"/>
                <w:sz w:val="24"/>
                <w:szCs w:val="24"/>
              </w:rPr>
              <w:t>1.充分利用国家宪法日、宪法宣传周、法律法规颁布实施纪念日等特殊时间点，持续开展“法律六进”活动</w:t>
            </w:r>
            <w:r w:rsidR="00E13489">
              <w:rPr>
                <w:rFonts w:ascii="仿宋_GB2312" w:eastAsia="仿宋_GB2312" w:hAnsi="微软雅黑" w:cs="宋体" w:hint="eastAsia"/>
                <w:color w:val="424242"/>
                <w:kern w:val="0"/>
                <w:sz w:val="24"/>
                <w:szCs w:val="24"/>
              </w:rPr>
              <w:t>；</w:t>
            </w:r>
          </w:p>
          <w:p w:rsidR="006B0883" w:rsidRDefault="006B0883" w:rsidP="00A770E0">
            <w:pPr>
              <w:rPr>
                <w:rFonts w:ascii="仿宋_GB2312" w:eastAsia="仿宋_GB2312" w:hAnsi="微软雅黑" w:cs="宋体"/>
                <w:color w:val="424242"/>
                <w:kern w:val="0"/>
                <w:sz w:val="24"/>
                <w:szCs w:val="24"/>
              </w:rPr>
            </w:pPr>
            <w:r>
              <w:rPr>
                <w:rFonts w:ascii="仿宋_GB2312" w:eastAsia="仿宋_GB2312" w:hAnsi="微软雅黑" w:cs="宋体" w:hint="eastAsia"/>
                <w:color w:val="424242"/>
                <w:kern w:val="0"/>
                <w:sz w:val="24"/>
                <w:szCs w:val="24"/>
              </w:rPr>
              <w:t>2.</w:t>
            </w:r>
            <w:r w:rsidR="007E457B">
              <w:rPr>
                <w:rFonts w:ascii="仿宋_GB2312" w:eastAsia="仿宋_GB2312" w:hAnsi="微软雅黑" w:cs="宋体" w:hint="eastAsia"/>
                <w:color w:val="424242"/>
                <w:kern w:val="0"/>
                <w:sz w:val="24"/>
                <w:szCs w:val="24"/>
              </w:rPr>
              <w:t>充分利用审计进点会、审计回访的</w:t>
            </w:r>
            <w:r>
              <w:rPr>
                <w:rFonts w:ascii="仿宋_GB2312" w:eastAsia="仿宋_GB2312" w:hAnsi="微软雅黑" w:cs="宋体" w:hint="eastAsia"/>
                <w:color w:val="424242"/>
                <w:kern w:val="0"/>
                <w:sz w:val="24"/>
                <w:szCs w:val="24"/>
              </w:rPr>
              <w:t>机会，向被审计单位宣传与审计工作相关的法律法规</w:t>
            </w:r>
            <w:r w:rsidR="00E13489">
              <w:rPr>
                <w:rFonts w:ascii="仿宋_GB2312" w:eastAsia="仿宋_GB2312" w:hAnsi="微软雅黑" w:cs="宋体" w:hint="eastAsia"/>
                <w:color w:val="424242"/>
                <w:kern w:val="0"/>
                <w:sz w:val="24"/>
                <w:szCs w:val="24"/>
              </w:rPr>
              <w:t>；</w:t>
            </w:r>
          </w:p>
          <w:p w:rsidR="006B0883" w:rsidRPr="00A770E0" w:rsidRDefault="006B0883" w:rsidP="00A770E0">
            <w:pPr>
              <w:rPr>
                <w:rFonts w:ascii="仿宋_GB2312" w:eastAsia="仿宋_GB2312" w:hAnsi="微软雅黑" w:cs="宋体"/>
                <w:color w:val="424242"/>
                <w:kern w:val="0"/>
                <w:sz w:val="24"/>
                <w:szCs w:val="24"/>
              </w:rPr>
            </w:pPr>
            <w:r>
              <w:rPr>
                <w:rFonts w:ascii="仿宋_GB2312" w:eastAsia="仿宋_GB2312" w:hAnsi="微软雅黑" w:cs="宋体" w:hint="eastAsia"/>
                <w:color w:val="424242"/>
                <w:kern w:val="0"/>
                <w:sz w:val="24"/>
                <w:szCs w:val="24"/>
              </w:rPr>
              <w:t>3.</w:t>
            </w:r>
            <w:proofErr w:type="gramStart"/>
            <w:r w:rsidR="007B5550">
              <w:rPr>
                <w:rFonts w:ascii="仿宋_GB2312" w:eastAsia="仿宋_GB2312" w:hAnsi="微软雅黑" w:cs="宋体" w:hint="eastAsia"/>
                <w:color w:val="424242"/>
                <w:kern w:val="0"/>
                <w:sz w:val="24"/>
                <w:szCs w:val="24"/>
              </w:rPr>
              <w:t>借助局</w:t>
            </w:r>
            <w:proofErr w:type="gramEnd"/>
            <w:r w:rsidR="007B5550">
              <w:rPr>
                <w:rFonts w:ascii="仿宋_GB2312" w:eastAsia="仿宋_GB2312" w:hAnsi="微软雅黑" w:cs="宋体" w:hint="eastAsia"/>
                <w:color w:val="424242"/>
                <w:kern w:val="0"/>
                <w:sz w:val="24"/>
                <w:szCs w:val="24"/>
              </w:rPr>
              <w:t>的政务</w:t>
            </w:r>
            <w:r>
              <w:rPr>
                <w:rFonts w:ascii="仿宋_GB2312" w:eastAsia="仿宋_GB2312" w:hAnsi="微软雅黑" w:cs="宋体" w:hint="eastAsia"/>
                <w:color w:val="424242"/>
                <w:kern w:val="0"/>
                <w:sz w:val="24"/>
                <w:szCs w:val="24"/>
              </w:rPr>
              <w:t>信息公开栏等多种媒介进行宣传。</w:t>
            </w:r>
          </w:p>
        </w:tc>
      </w:tr>
      <w:tr w:rsidR="007B5550" w:rsidTr="005D70B0">
        <w:trPr>
          <w:trHeight w:val="2540"/>
        </w:trPr>
        <w:tc>
          <w:tcPr>
            <w:tcW w:w="3544" w:type="dxa"/>
            <w:vAlign w:val="center"/>
          </w:tcPr>
          <w:p w:rsidR="007B5550" w:rsidRDefault="0030619E" w:rsidP="0026182F">
            <w:pPr>
              <w:rPr>
                <w:rFonts w:ascii="仿宋_GB2312" w:eastAsia="仿宋_GB2312" w:hAnsi="微软雅黑" w:cs="宋体"/>
                <w:color w:val="424242"/>
                <w:kern w:val="0"/>
                <w:sz w:val="24"/>
                <w:szCs w:val="24"/>
              </w:rPr>
            </w:pPr>
            <w:r>
              <w:rPr>
                <w:rFonts w:ascii="仿宋_GB2312" w:eastAsia="仿宋_GB2312" w:hAnsi="微软雅黑" w:cs="宋体"/>
                <w:color w:val="424242"/>
                <w:kern w:val="0"/>
                <w:sz w:val="24"/>
                <w:szCs w:val="24"/>
              </w:rPr>
              <w:lastRenderedPageBreak/>
              <w:t>宣传学习新颁布</w:t>
            </w:r>
            <w:r>
              <w:rPr>
                <w:rFonts w:ascii="仿宋_GB2312" w:eastAsia="仿宋_GB2312" w:hAnsi="微软雅黑" w:cs="宋体" w:hint="eastAsia"/>
                <w:color w:val="424242"/>
                <w:kern w:val="0"/>
                <w:sz w:val="24"/>
                <w:szCs w:val="24"/>
              </w:rPr>
              <w:t>、</w:t>
            </w:r>
            <w:r>
              <w:rPr>
                <w:rFonts w:ascii="仿宋_GB2312" w:eastAsia="仿宋_GB2312" w:hAnsi="微软雅黑" w:cs="宋体"/>
                <w:color w:val="424242"/>
                <w:kern w:val="0"/>
                <w:sz w:val="24"/>
                <w:szCs w:val="24"/>
              </w:rPr>
              <w:t>新修订的法律法规</w:t>
            </w:r>
            <w:r>
              <w:rPr>
                <w:rFonts w:ascii="仿宋_GB2312" w:eastAsia="仿宋_GB2312" w:hAnsi="微软雅黑" w:cs="宋体" w:hint="eastAsia"/>
                <w:color w:val="424242"/>
                <w:kern w:val="0"/>
                <w:sz w:val="24"/>
                <w:szCs w:val="24"/>
              </w:rPr>
              <w:t>，</w:t>
            </w:r>
            <w:r>
              <w:rPr>
                <w:rFonts w:ascii="仿宋_GB2312" w:eastAsia="仿宋_GB2312" w:hAnsi="微软雅黑" w:cs="宋体"/>
                <w:color w:val="424242"/>
                <w:kern w:val="0"/>
                <w:sz w:val="24"/>
                <w:szCs w:val="24"/>
              </w:rPr>
              <w:t>如</w:t>
            </w:r>
            <w:r>
              <w:rPr>
                <w:rFonts w:ascii="仿宋_GB2312" w:eastAsia="仿宋_GB2312" w:hAnsi="微软雅黑" w:cs="宋体" w:hint="eastAsia"/>
                <w:color w:val="424242"/>
                <w:kern w:val="0"/>
                <w:sz w:val="24"/>
                <w:szCs w:val="24"/>
              </w:rPr>
              <w:t>《民法典》《行政处罚法》等。</w:t>
            </w:r>
          </w:p>
        </w:tc>
        <w:tc>
          <w:tcPr>
            <w:tcW w:w="1701" w:type="dxa"/>
            <w:vAlign w:val="center"/>
          </w:tcPr>
          <w:p w:rsidR="007B5550" w:rsidRDefault="0030619E" w:rsidP="00FD2835">
            <w:pPr>
              <w:jc w:val="center"/>
              <w:rPr>
                <w:rFonts w:ascii="仿宋_GB2312" w:eastAsia="仿宋_GB2312" w:hAnsi="微软雅黑" w:cs="宋体"/>
                <w:color w:val="424242"/>
                <w:kern w:val="0"/>
                <w:sz w:val="24"/>
                <w:szCs w:val="24"/>
              </w:rPr>
            </w:pPr>
            <w:r>
              <w:rPr>
                <w:rFonts w:ascii="仿宋_GB2312" w:eastAsia="仿宋_GB2312" w:hAnsi="微软雅黑" w:cs="宋体" w:hint="eastAsia"/>
                <w:color w:val="424242"/>
                <w:kern w:val="0"/>
                <w:sz w:val="24"/>
                <w:szCs w:val="24"/>
              </w:rPr>
              <w:t>审计干部</w:t>
            </w:r>
          </w:p>
          <w:p w:rsidR="0030619E" w:rsidRDefault="0030619E" w:rsidP="00FD2835">
            <w:pPr>
              <w:jc w:val="center"/>
              <w:rPr>
                <w:rFonts w:ascii="仿宋_GB2312" w:eastAsia="仿宋_GB2312" w:hAnsi="微软雅黑" w:cs="宋体"/>
                <w:color w:val="424242"/>
                <w:kern w:val="0"/>
                <w:sz w:val="24"/>
                <w:szCs w:val="24"/>
              </w:rPr>
            </w:pPr>
            <w:r>
              <w:rPr>
                <w:rFonts w:ascii="仿宋_GB2312" w:eastAsia="仿宋_GB2312" w:hAnsi="微软雅黑" w:cs="宋体" w:hint="eastAsia"/>
                <w:color w:val="424242"/>
                <w:kern w:val="0"/>
                <w:sz w:val="24"/>
                <w:szCs w:val="24"/>
              </w:rPr>
              <w:t>社会公众</w:t>
            </w:r>
          </w:p>
        </w:tc>
        <w:tc>
          <w:tcPr>
            <w:tcW w:w="2977" w:type="dxa"/>
            <w:vAlign w:val="center"/>
          </w:tcPr>
          <w:p w:rsidR="007B5550" w:rsidRDefault="0030619E" w:rsidP="007B5550">
            <w:pPr>
              <w:rPr>
                <w:rFonts w:ascii="仿宋_GB2312" w:eastAsia="仿宋_GB2312" w:hAnsi="微软雅黑" w:cs="宋体"/>
                <w:color w:val="424242"/>
                <w:kern w:val="0"/>
                <w:sz w:val="24"/>
                <w:szCs w:val="24"/>
              </w:rPr>
            </w:pPr>
            <w:r>
              <w:rPr>
                <w:rFonts w:ascii="仿宋_GB2312" w:eastAsia="仿宋_GB2312" w:hAnsi="微软雅黑" w:cs="宋体" w:hint="eastAsia"/>
                <w:color w:val="424242"/>
                <w:kern w:val="0"/>
                <w:sz w:val="24"/>
                <w:szCs w:val="24"/>
              </w:rPr>
              <w:t>做好普法宣传工作，提高新颁布、新修订法律法规社会知晓度，以此促进其有效实施。</w:t>
            </w:r>
          </w:p>
        </w:tc>
        <w:tc>
          <w:tcPr>
            <w:tcW w:w="5954" w:type="dxa"/>
            <w:vAlign w:val="center"/>
          </w:tcPr>
          <w:p w:rsidR="007B5550" w:rsidRDefault="00852113" w:rsidP="00A770E0">
            <w:pPr>
              <w:rPr>
                <w:rFonts w:ascii="仿宋_GB2312" w:eastAsia="仿宋_GB2312" w:hAnsi="微软雅黑" w:cs="宋体"/>
                <w:color w:val="424242"/>
                <w:kern w:val="0"/>
                <w:sz w:val="24"/>
                <w:szCs w:val="24"/>
              </w:rPr>
            </w:pPr>
            <w:r>
              <w:rPr>
                <w:rFonts w:ascii="仿宋_GB2312" w:eastAsia="仿宋_GB2312" w:hAnsi="微软雅黑" w:cs="宋体" w:hint="eastAsia"/>
                <w:color w:val="424242"/>
                <w:kern w:val="0"/>
                <w:sz w:val="24"/>
                <w:szCs w:val="24"/>
              </w:rPr>
              <w:t>1.积极参与</w:t>
            </w:r>
            <w:r w:rsidRPr="007477CB">
              <w:rPr>
                <w:rFonts w:ascii="仿宋_GB2312" w:eastAsia="仿宋_GB2312" w:hAnsi="微软雅黑" w:cs="宋体" w:hint="eastAsia"/>
                <w:color w:val="424242"/>
                <w:kern w:val="0"/>
                <w:sz w:val="24"/>
                <w:szCs w:val="24"/>
              </w:rPr>
              <w:t>市</w:t>
            </w:r>
            <w:r>
              <w:rPr>
                <w:rFonts w:ascii="仿宋_GB2312" w:eastAsia="仿宋_GB2312" w:hAnsi="微软雅黑" w:cs="宋体" w:hint="eastAsia"/>
                <w:color w:val="424242"/>
                <w:kern w:val="0"/>
                <w:sz w:val="24"/>
                <w:szCs w:val="24"/>
              </w:rPr>
              <w:t>、区普法办组织开展的法治宣传教育活动和社会公益普法活动；</w:t>
            </w:r>
          </w:p>
          <w:p w:rsidR="00852113" w:rsidRDefault="00852113" w:rsidP="00A770E0">
            <w:pPr>
              <w:rPr>
                <w:rFonts w:ascii="仿宋_GB2312" w:eastAsia="仿宋_GB2312" w:hAnsi="微软雅黑" w:cs="宋体"/>
                <w:color w:val="424242"/>
                <w:kern w:val="0"/>
                <w:sz w:val="24"/>
                <w:szCs w:val="24"/>
              </w:rPr>
            </w:pPr>
            <w:r>
              <w:rPr>
                <w:rFonts w:ascii="仿宋_GB2312" w:eastAsia="仿宋_GB2312" w:hAnsi="微软雅黑" w:cs="宋体" w:hint="eastAsia"/>
                <w:color w:val="424242"/>
                <w:kern w:val="0"/>
                <w:sz w:val="24"/>
                <w:szCs w:val="24"/>
              </w:rPr>
              <w:t>2.召开相关法律专题讲座；</w:t>
            </w:r>
          </w:p>
          <w:p w:rsidR="00852113" w:rsidRDefault="00852113" w:rsidP="00A770E0">
            <w:pPr>
              <w:rPr>
                <w:rFonts w:ascii="仿宋_GB2312" w:eastAsia="仿宋_GB2312" w:hAnsi="微软雅黑" w:cs="宋体"/>
                <w:color w:val="424242"/>
                <w:kern w:val="0"/>
                <w:sz w:val="24"/>
                <w:szCs w:val="24"/>
              </w:rPr>
            </w:pPr>
            <w:r>
              <w:rPr>
                <w:rFonts w:ascii="仿宋_GB2312" w:eastAsia="仿宋_GB2312" w:hAnsi="微软雅黑" w:cs="宋体" w:hint="eastAsia"/>
                <w:color w:val="424242"/>
                <w:kern w:val="0"/>
                <w:sz w:val="24"/>
                <w:szCs w:val="24"/>
              </w:rPr>
              <w:t>3.</w:t>
            </w:r>
            <w:r w:rsidR="00715A69">
              <w:rPr>
                <w:rFonts w:ascii="仿宋_GB2312" w:eastAsia="仿宋_GB2312" w:hAnsi="微软雅黑" w:cs="宋体" w:hint="eastAsia"/>
                <w:color w:val="424242"/>
                <w:kern w:val="0"/>
                <w:sz w:val="24"/>
                <w:szCs w:val="24"/>
              </w:rPr>
              <w:t>利用派发宣传手册</w:t>
            </w:r>
            <w:r w:rsidR="005D23E0">
              <w:rPr>
                <w:rFonts w:ascii="仿宋_GB2312" w:eastAsia="仿宋_GB2312" w:hAnsi="微软雅黑" w:cs="宋体" w:hint="eastAsia"/>
                <w:color w:val="424242"/>
                <w:kern w:val="0"/>
                <w:sz w:val="24"/>
                <w:szCs w:val="24"/>
              </w:rPr>
              <w:t>、张贴</w:t>
            </w:r>
            <w:r w:rsidR="00715A69">
              <w:rPr>
                <w:rFonts w:ascii="仿宋_GB2312" w:eastAsia="仿宋_GB2312" w:hAnsi="微软雅黑" w:cs="宋体" w:hint="eastAsia"/>
                <w:color w:val="424242"/>
                <w:kern w:val="0"/>
                <w:sz w:val="24"/>
                <w:szCs w:val="24"/>
              </w:rPr>
              <w:t>海报等形式，营造良好的法治氛围。</w:t>
            </w:r>
          </w:p>
        </w:tc>
      </w:tr>
      <w:tr w:rsidR="00FC6AC0" w:rsidTr="005D70B0">
        <w:trPr>
          <w:trHeight w:val="2540"/>
        </w:trPr>
        <w:tc>
          <w:tcPr>
            <w:tcW w:w="3544" w:type="dxa"/>
            <w:vAlign w:val="center"/>
          </w:tcPr>
          <w:p w:rsidR="00FC6AC0" w:rsidRPr="00FC6AC0" w:rsidRDefault="00FC6AC0" w:rsidP="003606D1">
            <w:pPr>
              <w:widowControl/>
              <w:wordWrap w:val="0"/>
              <w:rPr>
                <w:rFonts w:ascii="仿宋_GB2312" w:eastAsia="仿宋_GB2312" w:hAnsi="微软雅黑" w:cs="宋体"/>
                <w:color w:val="424242"/>
                <w:kern w:val="0"/>
                <w:sz w:val="24"/>
                <w:szCs w:val="24"/>
              </w:rPr>
            </w:pPr>
            <w:r w:rsidRPr="003606D1">
              <w:rPr>
                <w:rFonts w:ascii="仿宋_GB2312" w:eastAsia="仿宋_GB2312" w:hAnsi="微软雅黑" w:cs="宋体" w:hint="eastAsia"/>
                <w:color w:val="424242"/>
                <w:kern w:val="0"/>
                <w:sz w:val="24"/>
                <w:szCs w:val="24"/>
              </w:rPr>
              <w:t>宣传学习《江门市文明行为促进条例》。</w:t>
            </w:r>
          </w:p>
        </w:tc>
        <w:tc>
          <w:tcPr>
            <w:tcW w:w="1701" w:type="dxa"/>
            <w:vAlign w:val="center"/>
          </w:tcPr>
          <w:p w:rsidR="00FC6AC0" w:rsidRPr="003606D1" w:rsidRDefault="00FC6AC0" w:rsidP="003606D1">
            <w:pPr>
              <w:widowControl/>
              <w:wordWrap w:val="0"/>
              <w:jc w:val="center"/>
              <w:rPr>
                <w:rFonts w:ascii="仿宋_GB2312" w:eastAsia="仿宋_GB2312" w:hAnsi="微软雅黑" w:cs="宋体"/>
                <w:color w:val="424242"/>
                <w:kern w:val="0"/>
                <w:sz w:val="24"/>
                <w:szCs w:val="24"/>
              </w:rPr>
            </w:pPr>
            <w:r w:rsidRPr="003606D1">
              <w:rPr>
                <w:rFonts w:ascii="仿宋_GB2312" w:eastAsia="仿宋_GB2312" w:hAnsi="微软雅黑" w:cs="宋体" w:hint="eastAsia"/>
                <w:color w:val="424242"/>
                <w:kern w:val="0"/>
                <w:sz w:val="24"/>
                <w:szCs w:val="24"/>
              </w:rPr>
              <w:t>审计干部</w:t>
            </w:r>
          </w:p>
          <w:p w:rsidR="00FC6AC0" w:rsidRDefault="00FC6AC0" w:rsidP="003606D1">
            <w:pPr>
              <w:widowControl/>
              <w:wordWrap w:val="0"/>
              <w:jc w:val="center"/>
              <w:rPr>
                <w:rFonts w:ascii="仿宋_GB2312" w:eastAsia="仿宋_GB2312" w:hAnsi="微软雅黑" w:cs="宋体"/>
                <w:color w:val="424242"/>
                <w:kern w:val="0"/>
                <w:sz w:val="24"/>
                <w:szCs w:val="24"/>
              </w:rPr>
            </w:pPr>
            <w:r w:rsidRPr="003606D1">
              <w:rPr>
                <w:rFonts w:ascii="仿宋_GB2312" w:eastAsia="仿宋_GB2312" w:hAnsi="微软雅黑" w:cs="宋体" w:hint="eastAsia"/>
                <w:color w:val="424242"/>
                <w:kern w:val="0"/>
                <w:sz w:val="24"/>
                <w:szCs w:val="24"/>
              </w:rPr>
              <w:t>社会公众</w:t>
            </w:r>
          </w:p>
        </w:tc>
        <w:tc>
          <w:tcPr>
            <w:tcW w:w="2977" w:type="dxa"/>
            <w:vAlign w:val="center"/>
          </w:tcPr>
          <w:p w:rsidR="00FC6AC0" w:rsidRDefault="00FC6AC0" w:rsidP="003606D1">
            <w:pPr>
              <w:widowControl/>
              <w:wordWrap w:val="0"/>
              <w:rPr>
                <w:rFonts w:ascii="仿宋_GB2312" w:eastAsia="仿宋_GB2312" w:hAnsi="微软雅黑" w:cs="宋体"/>
                <w:color w:val="424242"/>
                <w:kern w:val="0"/>
                <w:sz w:val="24"/>
                <w:szCs w:val="24"/>
              </w:rPr>
            </w:pPr>
            <w:r w:rsidRPr="003606D1">
              <w:rPr>
                <w:rFonts w:ascii="仿宋_GB2312" w:eastAsia="仿宋_GB2312" w:hAnsi="微软雅黑" w:cs="宋体" w:hint="eastAsia"/>
                <w:color w:val="424242"/>
                <w:kern w:val="0"/>
                <w:sz w:val="24"/>
                <w:szCs w:val="24"/>
              </w:rPr>
              <w:t>增强公民法治意识和道德意识，防范和制止各类不文明行为的发生，使公民在日常生活中养成遵守公序良俗、尊重他人权利的良好行为习惯。</w:t>
            </w:r>
          </w:p>
        </w:tc>
        <w:tc>
          <w:tcPr>
            <w:tcW w:w="5954" w:type="dxa"/>
            <w:vAlign w:val="center"/>
          </w:tcPr>
          <w:p w:rsidR="00FC6AC0" w:rsidRPr="003606D1" w:rsidRDefault="00FC6AC0" w:rsidP="003606D1">
            <w:pPr>
              <w:widowControl/>
              <w:wordWrap w:val="0"/>
              <w:rPr>
                <w:rFonts w:ascii="仿宋_GB2312" w:eastAsia="仿宋_GB2312" w:hAnsi="微软雅黑" w:cs="宋体"/>
                <w:color w:val="424242"/>
                <w:kern w:val="0"/>
                <w:sz w:val="24"/>
                <w:szCs w:val="24"/>
              </w:rPr>
            </w:pPr>
            <w:r w:rsidRPr="003606D1">
              <w:rPr>
                <w:rFonts w:ascii="仿宋_GB2312" w:eastAsia="仿宋_GB2312" w:hAnsi="微软雅黑" w:cs="宋体" w:hint="eastAsia"/>
                <w:color w:val="424242"/>
                <w:kern w:val="0"/>
                <w:sz w:val="24"/>
                <w:szCs w:val="24"/>
              </w:rPr>
              <w:t>1.</w:t>
            </w:r>
            <w:r w:rsidR="007C6BD7" w:rsidRPr="003606D1">
              <w:rPr>
                <w:rFonts w:ascii="仿宋_GB2312" w:eastAsia="仿宋_GB2312" w:hAnsi="微软雅黑" w:cs="宋体" w:hint="eastAsia"/>
                <w:color w:val="424242"/>
                <w:kern w:val="0"/>
                <w:sz w:val="24"/>
                <w:szCs w:val="24"/>
              </w:rPr>
              <w:t>组织全体干部职工认真研读</w:t>
            </w:r>
            <w:r w:rsidRPr="003606D1">
              <w:rPr>
                <w:rFonts w:ascii="仿宋_GB2312" w:eastAsia="仿宋_GB2312" w:hAnsi="微软雅黑" w:cs="宋体" w:hint="eastAsia"/>
                <w:color w:val="424242"/>
                <w:kern w:val="0"/>
                <w:sz w:val="24"/>
                <w:szCs w:val="24"/>
              </w:rPr>
              <w:t>《条例》原文，通过学习《条例》来规范日常工作行为。</w:t>
            </w:r>
          </w:p>
          <w:p w:rsidR="00FC6AC0" w:rsidRDefault="00FC6AC0" w:rsidP="003606D1">
            <w:pPr>
              <w:widowControl/>
              <w:wordWrap w:val="0"/>
              <w:rPr>
                <w:rFonts w:ascii="仿宋_GB2312" w:eastAsia="仿宋_GB2312" w:hAnsi="微软雅黑" w:cs="宋体"/>
                <w:color w:val="424242"/>
                <w:kern w:val="0"/>
                <w:sz w:val="24"/>
                <w:szCs w:val="24"/>
              </w:rPr>
            </w:pPr>
            <w:r w:rsidRPr="003606D1">
              <w:rPr>
                <w:rFonts w:ascii="仿宋_GB2312" w:eastAsia="仿宋_GB2312" w:hAnsi="微软雅黑" w:cs="宋体" w:hint="eastAsia"/>
                <w:color w:val="424242"/>
                <w:kern w:val="0"/>
                <w:sz w:val="24"/>
                <w:szCs w:val="24"/>
              </w:rPr>
              <w:t>2.联合社区开展志愿服务活动，向群众宣传《条例》，</w:t>
            </w:r>
            <w:proofErr w:type="gramStart"/>
            <w:r w:rsidRPr="003606D1">
              <w:rPr>
                <w:rFonts w:ascii="仿宋_GB2312" w:eastAsia="仿宋_GB2312" w:hAnsi="微软雅黑" w:cs="宋体" w:hint="eastAsia"/>
                <w:color w:val="424242"/>
                <w:kern w:val="0"/>
                <w:sz w:val="24"/>
                <w:szCs w:val="24"/>
              </w:rPr>
              <w:t>引导市</w:t>
            </w:r>
            <w:proofErr w:type="gramEnd"/>
            <w:r w:rsidRPr="003606D1">
              <w:rPr>
                <w:rFonts w:ascii="仿宋_GB2312" w:eastAsia="仿宋_GB2312" w:hAnsi="微软雅黑" w:cs="宋体" w:hint="eastAsia"/>
                <w:color w:val="424242"/>
                <w:kern w:val="0"/>
                <w:sz w:val="24"/>
                <w:szCs w:val="24"/>
              </w:rPr>
              <w:t>文明行为，营造良好氛围。</w:t>
            </w:r>
          </w:p>
        </w:tc>
      </w:tr>
    </w:tbl>
    <w:p w:rsidR="007E3CFB" w:rsidRPr="006B0883" w:rsidRDefault="007E3CFB" w:rsidP="000330C8">
      <w:bookmarkStart w:id="0" w:name="_GoBack"/>
      <w:bookmarkEnd w:id="0"/>
    </w:p>
    <w:sectPr w:rsidR="007E3CFB" w:rsidRPr="006B0883" w:rsidSect="007E3CFB">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FAA" w:rsidRDefault="00283FAA" w:rsidP="008E0B2B">
      <w:r>
        <w:separator/>
      </w:r>
    </w:p>
  </w:endnote>
  <w:endnote w:type="continuationSeparator" w:id="0">
    <w:p w:rsidR="00283FAA" w:rsidRDefault="00283FAA" w:rsidP="008E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FAA" w:rsidRDefault="00283FAA" w:rsidP="008E0B2B">
      <w:r>
        <w:separator/>
      </w:r>
    </w:p>
  </w:footnote>
  <w:footnote w:type="continuationSeparator" w:id="0">
    <w:p w:rsidR="00283FAA" w:rsidRDefault="00283FAA" w:rsidP="008E0B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215D81"/>
    <w:multiLevelType w:val="multilevel"/>
    <w:tmpl w:val="69215D8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956"/>
    <w:rsid w:val="00000182"/>
    <w:rsid w:val="0002242A"/>
    <w:rsid w:val="00027D7A"/>
    <w:rsid w:val="000330C8"/>
    <w:rsid w:val="00050956"/>
    <w:rsid w:val="00095A3F"/>
    <w:rsid w:val="000A22CA"/>
    <w:rsid w:val="000B3EA8"/>
    <w:rsid w:val="001117BD"/>
    <w:rsid w:val="00144024"/>
    <w:rsid w:val="0017118C"/>
    <w:rsid w:val="001805E2"/>
    <w:rsid w:val="001859A4"/>
    <w:rsid w:val="001C3C6A"/>
    <w:rsid w:val="001E3E31"/>
    <w:rsid w:val="0026182F"/>
    <w:rsid w:val="002650B3"/>
    <w:rsid w:val="00283420"/>
    <w:rsid w:val="00283FAA"/>
    <w:rsid w:val="002C1939"/>
    <w:rsid w:val="002E63FE"/>
    <w:rsid w:val="0030619E"/>
    <w:rsid w:val="003606D1"/>
    <w:rsid w:val="00563A00"/>
    <w:rsid w:val="00572864"/>
    <w:rsid w:val="00583FBA"/>
    <w:rsid w:val="005D23E0"/>
    <w:rsid w:val="005D70B0"/>
    <w:rsid w:val="005E640A"/>
    <w:rsid w:val="006B0883"/>
    <w:rsid w:val="006E05FE"/>
    <w:rsid w:val="00715A69"/>
    <w:rsid w:val="00733211"/>
    <w:rsid w:val="007413DD"/>
    <w:rsid w:val="00772B22"/>
    <w:rsid w:val="007804AD"/>
    <w:rsid w:val="007B5550"/>
    <w:rsid w:val="007C6BD7"/>
    <w:rsid w:val="007E3CFB"/>
    <w:rsid w:val="007E457B"/>
    <w:rsid w:val="00852113"/>
    <w:rsid w:val="00863985"/>
    <w:rsid w:val="008E0B2B"/>
    <w:rsid w:val="00956BC1"/>
    <w:rsid w:val="00A57321"/>
    <w:rsid w:val="00A75DB5"/>
    <w:rsid w:val="00A770E0"/>
    <w:rsid w:val="00AE6153"/>
    <w:rsid w:val="00B11700"/>
    <w:rsid w:val="00B5791D"/>
    <w:rsid w:val="00C07014"/>
    <w:rsid w:val="00C2034E"/>
    <w:rsid w:val="00C76BC9"/>
    <w:rsid w:val="00CA7127"/>
    <w:rsid w:val="00CB02A2"/>
    <w:rsid w:val="00CB4703"/>
    <w:rsid w:val="00CB5B5E"/>
    <w:rsid w:val="00CF6AA4"/>
    <w:rsid w:val="00D072EF"/>
    <w:rsid w:val="00D24760"/>
    <w:rsid w:val="00D3304B"/>
    <w:rsid w:val="00D37717"/>
    <w:rsid w:val="00E13489"/>
    <w:rsid w:val="00E41C43"/>
    <w:rsid w:val="00E76B1C"/>
    <w:rsid w:val="00EB0C2A"/>
    <w:rsid w:val="00EC6369"/>
    <w:rsid w:val="00EE0D21"/>
    <w:rsid w:val="00EF0316"/>
    <w:rsid w:val="00F85395"/>
    <w:rsid w:val="00FA621A"/>
    <w:rsid w:val="00FC6AC0"/>
    <w:rsid w:val="00FD2835"/>
    <w:rsid w:val="00FF3F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28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8E0B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E0B2B"/>
    <w:rPr>
      <w:sz w:val="18"/>
      <w:szCs w:val="18"/>
    </w:rPr>
  </w:style>
  <w:style w:type="paragraph" w:styleId="a5">
    <w:name w:val="footer"/>
    <w:basedOn w:val="a"/>
    <w:link w:val="Char0"/>
    <w:uiPriority w:val="99"/>
    <w:unhideWhenUsed/>
    <w:rsid w:val="008E0B2B"/>
    <w:pPr>
      <w:tabs>
        <w:tab w:val="center" w:pos="4153"/>
        <w:tab w:val="right" w:pos="8306"/>
      </w:tabs>
      <w:snapToGrid w:val="0"/>
      <w:jc w:val="left"/>
    </w:pPr>
    <w:rPr>
      <w:sz w:val="18"/>
      <w:szCs w:val="18"/>
    </w:rPr>
  </w:style>
  <w:style w:type="character" w:customStyle="1" w:styleId="Char0">
    <w:name w:val="页脚 Char"/>
    <w:basedOn w:val="a0"/>
    <w:link w:val="a5"/>
    <w:uiPriority w:val="99"/>
    <w:rsid w:val="008E0B2B"/>
    <w:rPr>
      <w:sz w:val="18"/>
      <w:szCs w:val="18"/>
    </w:rPr>
  </w:style>
  <w:style w:type="paragraph" w:styleId="a6">
    <w:name w:val="Balloon Text"/>
    <w:basedOn w:val="a"/>
    <w:link w:val="Char1"/>
    <w:uiPriority w:val="99"/>
    <w:semiHidden/>
    <w:unhideWhenUsed/>
    <w:rsid w:val="005D23E0"/>
    <w:rPr>
      <w:sz w:val="18"/>
      <w:szCs w:val="18"/>
    </w:rPr>
  </w:style>
  <w:style w:type="character" w:customStyle="1" w:styleId="Char1">
    <w:name w:val="批注框文本 Char"/>
    <w:basedOn w:val="a0"/>
    <w:link w:val="a6"/>
    <w:uiPriority w:val="99"/>
    <w:semiHidden/>
    <w:rsid w:val="005D23E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28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8E0B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E0B2B"/>
    <w:rPr>
      <w:sz w:val="18"/>
      <w:szCs w:val="18"/>
    </w:rPr>
  </w:style>
  <w:style w:type="paragraph" w:styleId="a5">
    <w:name w:val="footer"/>
    <w:basedOn w:val="a"/>
    <w:link w:val="Char0"/>
    <w:uiPriority w:val="99"/>
    <w:unhideWhenUsed/>
    <w:rsid w:val="008E0B2B"/>
    <w:pPr>
      <w:tabs>
        <w:tab w:val="center" w:pos="4153"/>
        <w:tab w:val="right" w:pos="8306"/>
      </w:tabs>
      <w:snapToGrid w:val="0"/>
      <w:jc w:val="left"/>
    </w:pPr>
    <w:rPr>
      <w:sz w:val="18"/>
      <w:szCs w:val="18"/>
    </w:rPr>
  </w:style>
  <w:style w:type="character" w:customStyle="1" w:styleId="Char0">
    <w:name w:val="页脚 Char"/>
    <w:basedOn w:val="a0"/>
    <w:link w:val="a5"/>
    <w:uiPriority w:val="99"/>
    <w:rsid w:val="008E0B2B"/>
    <w:rPr>
      <w:sz w:val="18"/>
      <w:szCs w:val="18"/>
    </w:rPr>
  </w:style>
  <w:style w:type="paragraph" w:styleId="a6">
    <w:name w:val="Balloon Text"/>
    <w:basedOn w:val="a"/>
    <w:link w:val="Char1"/>
    <w:uiPriority w:val="99"/>
    <w:semiHidden/>
    <w:unhideWhenUsed/>
    <w:rsid w:val="005D23E0"/>
    <w:rPr>
      <w:sz w:val="18"/>
      <w:szCs w:val="18"/>
    </w:rPr>
  </w:style>
  <w:style w:type="character" w:customStyle="1" w:styleId="Char1">
    <w:name w:val="批注框文本 Char"/>
    <w:basedOn w:val="a0"/>
    <w:link w:val="a6"/>
    <w:uiPriority w:val="99"/>
    <w:semiHidden/>
    <w:rsid w:val="005D23E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152</Words>
  <Characters>873</Characters>
  <Application>Microsoft Office Word</Application>
  <DocSecurity>0</DocSecurity>
  <Lines>7</Lines>
  <Paragraphs>2</Paragraphs>
  <ScaleCrop>false</ScaleCrop>
  <Company>HP Inc.</Company>
  <LinksUpToDate>false</LinksUpToDate>
  <CharactersWithSpaces>1023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QSJ011</dc:creator>
  <cp:lastModifiedBy>QSJ011</cp:lastModifiedBy>
  <cp:revision>19</cp:revision>
  <cp:lastPrinted>2021-10-22T07:48:00Z</cp:lastPrinted>
  <dcterms:created xsi:type="dcterms:W3CDTF">2021-10-22T07:05:00Z</dcterms:created>
  <dcterms:modified xsi:type="dcterms:W3CDTF">2021-10-26T01:36:00Z</dcterms:modified>
</cp:coreProperties>
</file>