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360" w:lineRule="auto"/>
        <w:jc w:val="center"/>
        <w:outlineLvl w:val="2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综合评分表</w:t>
      </w:r>
      <w:bookmarkStart w:id="1" w:name="_GoBack"/>
      <w:bookmarkEnd w:id="1"/>
    </w:p>
    <w:p>
      <w:pPr>
        <w:snapToGrid w:val="0"/>
        <w:spacing w:before="156" w:beforeLines="50" w:after="156" w:afterLines="50" w:line="360" w:lineRule="auto"/>
        <w:jc w:val="center"/>
        <w:outlineLvl w:val="2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商务</w:t>
      </w:r>
      <w:r>
        <w:rPr>
          <w:rFonts w:hint="eastAsia" w:ascii="宋体" w:hAnsi="宋体" w:cs="宋体"/>
          <w:b/>
          <w:lang w:eastAsia="zh-CN"/>
        </w:rPr>
        <w:t>、</w:t>
      </w:r>
      <w:r>
        <w:rPr>
          <w:rFonts w:hint="eastAsia" w:ascii="宋体" w:hAnsi="宋体" w:cs="宋体"/>
          <w:b/>
        </w:rPr>
        <w:t>技术评分表</w:t>
      </w:r>
    </w:p>
    <w:tbl>
      <w:tblPr>
        <w:tblStyle w:val="13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88"/>
        <w:gridCol w:w="7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评审内容及分值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技术部分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0分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项目实施方案1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分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cs="宋体"/>
              </w:rPr>
              <w:t>根据供应商所定的项目</w:t>
            </w:r>
            <w:r>
              <w:rPr>
                <w:rFonts w:hint="eastAsia" w:ascii="Calibri" w:hAnsi="Calibri" w:cs="Calibri"/>
              </w:rPr>
              <w:t xml:space="preserve">组织实施方案（包括实施服务工作流程、管理制度等）进行评审： 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cs="宋体"/>
              </w:rPr>
              <w:t>优</w:t>
            </w:r>
            <w:r>
              <w:rPr>
                <w:rFonts w:hint="eastAsia" w:ascii="宋体" w:hAnsi="宋体" w:cs="宋体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</w:rPr>
              <w:t>分：</w:t>
            </w:r>
            <w:r>
              <w:rPr>
                <w:rFonts w:hint="eastAsia" w:ascii="Calibri" w:hAnsi="Calibri" w:cs="Calibri"/>
              </w:rPr>
              <w:t xml:space="preserve">方案详尽、科学合理、可行性高、操作性强的； 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cs="宋体"/>
              </w:rPr>
              <w:t>良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</w:rPr>
              <w:t>分：</w:t>
            </w:r>
            <w:r>
              <w:rPr>
                <w:rFonts w:hint="eastAsia" w:ascii="Calibri" w:hAnsi="Calibri" w:cs="Calibri"/>
              </w:rPr>
              <w:t xml:space="preserve">方案完整、科学合理、可行性较强、操作性较强的； 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cs="宋体"/>
              </w:rPr>
              <w:t>中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分：</w:t>
            </w:r>
            <w:r>
              <w:rPr>
                <w:rFonts w:hint="eastAsia" w:ascii="Calibri" w:hAnsi="Calibri" w:cs="Calibri"/>
              </w:rPr>
              <w:t xml:space="preserve">方案基本完整、学合理、可行性一般、操作性一般的； 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差0分：</w:t>
            </w:r>
            <w:r>
              <w:rPr>
                <w:rFonts w:hint="eastAsia" w:ascii="Calibri" w:hAnsi="Calibri" w:cs="Calibri"/>
              </w:rPr>
              <w:t xml:space="preserve">方案不完整、不合理、可行性低，操作性低； 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Calibri" w:hAnsi="Calibri" w:cs="Calibri"/>
              </w:rPr>
              <w:t>其他或不提供不得分。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售后服务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10分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根据供应商响应的售后服务方案包括但不限于应急时间安排、保修服务人员及保修内容范围等：</w:t>
            </w:r>
          </w:p>
          <w:p>
            <w:p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优10分：售后服务各方面的承诺具体、全面、合理性强</w:t>
            </w:r>
            <w:r>
              <w:rPr>
                <w:rFonts w:hint="eastAsia"/>
                <w:lang w:val="en-US" w:eastAsia="zh-CN"/>
              </w:rPr>
              <w:t>;</w:t>
            </w:r>
          </w:p>
          <w:p>
            <w:p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良7分：售后服务各方面的承诺具体但不全面、具有一定的合理性</w:t>
            </w:r>
            <w:r>
              <w:rPr>
                <w:rFonts w:hint="eastAsia"/>
                <w:lang w:val="en-US" w:eastAsia="zh-CN"/>
              </w:rPr>
              <w:t>;</w:t>
            </w:r>
          </w:p>
          <w:p>
            <w:p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中3分：售后服务各方面的承诺基本合理</w:t>
            </w:r>
            <w:r>
              <w:rPr>
                <w:rFonts w:hint="eastAsia"/>
                <w:lang w:val="en-US" w:eastAsia="zh-CN"/>
              </w:rPr>
              <w:t>;</w:t>
            </w:r>
          </w:p>
          <w:p>
            <w:p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差0分：售后服务各方面的承诺一般，不够充分合理</w:t>
            </w:r>
            <w:r>
              <w:rPr>
                <w:rFonts w:hint="eastAsia"/>
                <w:lang w:val="en-US" w:eastAsia="zh-CN"/>
              </w:rPr>
              <w:t>;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Calibri"/>
                <w:szCs w:val="21"/>
              </w:rPr>
              <w:t>验收方案</w:t>
            </w:r>
            <w:r>
              <w:rPr>
                <w:rFonts w:hint="eastAsia" w:ascii="宋体" w:hAnsi="宋体" w:cs="宋体"/>
                <w:color w:val="000000"/>
              </w:rPr>
              <w:t>10分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</w:rPr>
              <w:t>根据供应商提供的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验收方案包括但不限于验收技术、方式、依据及验收过程的保障措施等： </w:t>
            </w:r>
          </w:p>
          <w:p>
            <w:pP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</w:rPr>
              <w:t>优10分：</w:t>
            </w:r>
            <w:r>
              <w:rPr>
                <w:rFonts w:hint="eastAsia" w:ascii="宋体" w:hAnsi="宋体" w:cs="宋体"/>
                <w:bCs/>
                <w:szCs w:val="21"/>
              </w:rPr>
              <w:t>针对本项目验收方案全面完善、作出计划保障可行性高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；</w:t>
            </w:r>
          </w:p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</w:rPr>
              <w:t>良7分</w:t>
            </w:r>
            <w:r>
              <w:rPr>
                <w:rFonts w:hint="eastAsia" w:ascii="宋体" w:hAnsi="宋体" w:cs="宋体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Cs/>
                <w:szCs w:val="21"/>
              </w:rPr>
              <w:t>针对本项目验收方案不完善、但作出计划保障具有一定的可行性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</w:rPr>
              <w:t>中3分：</w:t>
            </w:r>
            <w:r>
              <w:rPr>
                <w:rFonts w:hint="eastAsia" w:ascii="宋体" w:hAnsi="宋体" w:cs="宋体"/>
                <w:bCs/>
                <w:szCs w:val="21"/>
              </w:rPr>
              <w:t>针对本项目验收方案一般、作出计划保障可行性较低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差0分：</w:t>
            </w:r>
            <w:r>
              <w:rPr>
                <w:rFonts w:hint="eastAsia"/>
                <w:lang w:val="en-US" w:eastAsia="zh-CN"/>
              </w:rPr>
              <w:t>验收方案</w:t>
            </w:r>
            <w:r>
              <w:rPr>
                <w:rFonts w:hint="eastAsia"/>
              </w:rPr>
              <w:t>各方面不够充分</w:t>
            </w:r>
            <w:r>
              <w:rPr>
                <w:rFonts w:hint="eastAsia"/>
                <w:lang w:val="en-US" w:eastAsia="zh-CN"/>
              </w:rPr>
              <w:t>;</w:t>
            </w:r>
          </w:p>
          <w:p>
            <w:pPr>
              <w:pStyle w:val="5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不提供不得分。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质量保证措施</w:t>
            </w:r>
            <w:r>
              <w:rPr>
                <w:rFonts w:hint="eastAsia"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分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根据供应商对此项目</w:t>
            </w:r>
            <w:r>
              <w:rPr>
                <w:rFonts w:hint="eastAsia" w:ascii="宋体" w:hAnsi="宋体" w:cs="宋体"/>
                <w:bCs/>
                <w:szCs w:val="21"/>
              </w:rPr>
              <w:t>质量保证措施包括但不限于货物出厂运输、交货过程中的保护措施等：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优1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</w:rPr>
              <w:t>分：</w:t>
            </w:r>
            <w:r>
              <w:rPr>
                <w:rFonts w:hint="eastAsia" w:ascii="宋体" w:hAnsi="宋体" w:cs="宋体"/>
                <w:bCs/>
                <w:szCs w:val="21"/>
              </w:rPr>
              <w:t>措施详细、具体，可行性高、可操作性强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良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</w:rPr>
              <w:t>分：</w:t>
            </w:r>
            <w:r>
              <w:rPr>
                <w:rFonts w:hint="eastAsia" w:ascii="宋体" w:hAnsi="宋体" w:cs="宋体"/>
                <w:bCs/>
                <w:szCs w:val="21"/>
              </w:rPr>
              <w:t>措施完整但不具体，具有一定的可行性、可操作性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</w:rPr>
              <w:t>中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分：</w:t>
            </w:r>
            <w:r>
              <w:rPr>
                <w:rFonts w:hint="eastAsia" w:ascii="宋体" w:hAnsi="宋体" w:cs="宋体"/>
                <w:bCs/>
                <w:szCs w:val="21"/>
              </w:rPr>
              <w:t>措施合理但不完整，可行性、可操作性一般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差0分：</w:t>
            </w:r>
            <w:r>
              <w:rPr>
                <w:rFonts w:hint="eastAsia" w:ascii="宋体" w:hAnsi="宋体" w:cs="宋体"/>
                <w:bCs/>
                <w:szCs w:val="21"/>
              </w:rPr>
              <w:t>措施不够合理，可行性、可操作性较差；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Calibri" w:hAnsi="Calibri" w:cs="Calibri"/>
              </w:rPr>
              <w:t>其他或不提供不得分。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商务部分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30分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同类业绩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</w:rPr>
              <w:t>分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根据供应商提供自201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年1月1日至截标前单个合同金额不少于人民币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0万元的类似项目业绩，每提供1个合同得2分，最高不超过1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  <w:p>
            <w:pPr>
              <w:pStyle w:val="6"/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注:提供合同复印件、合同关键页(含合同金额及签订日期)或其它合同金额证明材料，加盖公章，缺少证明资料的业绩将不被评标委员会认可。</w:t>
            </w:r>
            <w:r>
              <w:rPr>
                <w:rFonts w:hint="eastAsia" w:ascii="宋体" w:hAnsi="宋体" w:cs="宋体"/>
                <w:lang w:eastAsia="zh-CN"/>
              </w:rPr>
              <w:t>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生产实力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10</w:t>
            </w:r>
            <w:r>
              <w:rPr>
                <w:rFonts w:hint="eastAsia" w:ascii="宋体" w:hAnsi="宋体" w:cs="宋体"/>
              </w:rPr>
              <w:t>分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具有履行合同所必需的设备和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设施，具有正规合法的相关生产设备设备，如：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大型激光机、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剪板机、折弯机、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刨槽机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焊机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，每提供一种设备的采购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复印件及对应的设备图片，得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分，未提供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发票复印件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不得分。最多得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  <w:p>
            <w:pPr>
              <w:pStyle w:val="11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注：响应文件中需提供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机械设备开具发票复印件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，不提供不得分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检测报告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</w:rPr>
              <w:t>分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供应商</w:t>
            </w:r>
            <w:r>
              <w:rPr>
                <w:rFonts w:hint="eastAsia" w:ascii="宋体" w:hAnsi="宋体" w:cs="宋体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</w:rPr>
              <w:t>具有</w:t>
            </w:r>
            <w:r>
              <w:rPr>
                <w:rFonts w:hint="eastAsia" w:ascii="宋体" w:hAnsi="宋体" w:cs="宋体"/>
                <w:lang w:val="en-US" w:eastAsia="zh-CN"/>
              </w:rPr>
              <w:t>304不锈钢材料检测报告</w:t>
            </w:r>
            <w:r>
              <w:rPr>
                <w:rFonts w:hint="eastAsia" w:ascii="宋体" w:hAnsi="宋体" w:cs="宋体"/>
              </w:rPr>
              <w:t>的，得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分；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供应商</w:t>
            </w:r>
            <w:r>
              <w:rPr>
                <w:rFonts w:hint="eastAsia" w:ascii="宋体" w:hAnsi="宋体" w:cs="宋体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</w:rPr>
              <w:t>具有</w:t>
            </w:r>
            <w:r>
              <w:rPr>
                <w:rFonts w:hint="eastAsia" w:ascii="宋体" w:hAnsi="宋体" w:cs="宋体"/>
                <w:lang w:val="en-US" w:eastAsia="zh-CN"/>
              </w:rPr>
              <w:t>亚克力材料检测报告</w:t>
            </w:r>
            <w:r>
              <w:rPr>
                <w:rFonts w:hint="eastAsia" w:ascii="宋体" w:hAnsi="宋体" w:cs="宋体"/>
              </w:rPr>
              <w:t>的，得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分；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</w:rPr>
              <w:t>供应商</w:t>
            </w:r>
            <w:r>
              <w:rPr>
                <w:rFonts w:hint="eastAsia" w:ascii="宋体" w:hAnsi="宋体" w:cs="宋体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</w:rPr>
              <w:t>具有</w:t>
            </w:r>
            <w:r>
              <w:rPr>
                <w:rFonts w:hint="eastAsia" w:ascii="宋体" w:hAnsi="宋体" w:cs="宋体"/>
                <w:lang w:val="en-US" w:eastAsia="zh-CN"/>
              </w:rPr>
              <w:t>油漆材料检测报告</w:t>
            </w:r>
            <w:r>
              <w:rPr>
                <w:rFonts w:hint="eastAsia" w:ascii="宋体" w:hAnsi="宋体" w:cs="宋体"/>
              </w:rPr>
              <w:t>的，得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</w:p>
          <w:p>
            <w:pPr>
              <w:pStyle w:val="6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不提供不得分。</w:t>
            </w:r>
          </w:p>
        </w:tc>
      </w:tr>
    </w:tbl>
    <w:p>
      <w:pPr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br w:type="page"/>
      </w:r>
    </w:p>
    <w:p>
      <w:pPr>
        <w:snapToGrid w:val="0"/>
        <w:spacing w:before="156" w:beforeLines="50" w:after="156" w:afterLines="50" w:line="360" w:lineRule="auto"/>
        <w:jc w:val="center"/>
        <w:outlineLvl w:val="2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经济价格评分细则（满分</w:t>
      </w:r>
      <w:r>
        <w:rPr>
          <w:rFonts w:hint="eastAsia" w:ascii="宋体" w:hAnsi="宋体" w:cs="宋体"/>
          <w:b/>
          <w:lang w:val="en-US" w:eastAsia="zh-CN"/>
        </w:rPr>
        <w:t>3</w:t>
      </w:r>
      <w:r>
        <w:rPr>
          <w:rFonts w:hint="eastAsia" w:ascii="宋体" w:hAnsi="宋体" w:cs="宋体"/>
          <w:b/>
        </w:rPr>
        <w:t>0分）</w:t>
      </w:r>
    </w:p>
    <w:tbl>
      <w:tblPr>
        <w:tblStyle w:val="13"/>
        <w:tblW w:w="98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96"/>
        <w:gridCol w:w="8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993" w:hRule="atLeast"/>
          <w:jc w:val="center"/>
        </w:trPr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baseline"/>
              <w:rPr>
                <w:rFonts w:ascii="宋体" w:hAnsi="宋体" w:cs="宋体"/>
              </w:rPr>
            </w:pPr>
            <w:bookmarkStart w:id="0" w:name="_Toc31538438"/>
            <w:r>
              <w:rPr>
                <w:rFonts w:hint="eastAsia" w:ascii="宋体" w:hAnsi="宋体" w:cs="宋体"/>
              </w:rPr>
              <w:t>价格指标</w:t>
            </w:r>
          </w:p>
          <w:p>
            <w:pPr>
              <w:widowControl/>
              <w:spacing w:line="288" w:lineRule="auto"/>
              <w:jc w:val="center"/>
              <w:textAlignment w:val="baseline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0分</w:t>
            </w:r>
          </w:p>
        </w:tc>
        <w:tc>
          <w:tcPr>
            <w:tcW w:w="8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8" w:lineRule="auto"/>
              <w:textAlignment w:val="baseline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价格分应当采用低价优先法计算，即满足</w:t>
            </w:r>
            <w:r>
              <w:rPr>
                <w:rFonts w:hint="eastAsia" w:ascii="宋体" w:hAnsi="宋体" w:cs="宋体"/>
                <w:lang w:val="en-US" w:eastAsia="zh-CN"/>
              </w:rPr>
              <w:t>招标</w:t>
            </w:r>
            <w:r>
              <w:rPr>
                <w:rFonts w:hint="eastAsia" w:ascii="宋体" w:hAnsi="宋体" w:cs="宋体"/>
              </w:rPr>
              <w:t>文件要求且投标价格最低的投标报价为评标基准价，其价格分为满分。其他供应商的价格分统一按照下列公式计算：</w:t>
            </w:r>
          </w:p>
          <w:p>
            <w:pPr>
              <w:widowControl/>
              <w:spacing w:line="288" w:lineRule="auto"/>
              <w:textAlignment w:val="baseline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投标报价得分=（评标基准价／投标报价）×100×权重</w:t>
            </w:r>
          </w:p>
          <w:p>
            <w:pPr>
              <w:widowControl/>
              <w:spacing w:line="288" w:lineRule="auto"/>
              <w:textAlignment w:val="baseline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备注：</w:t>
            </w:r>
          </w:p>
          <w:p>
            <w:pPr>
              <w:widowControl/>
              <w:spacing w:line="288" w:lineRule="auto"/>
              <w:textAlignment w:val="baseline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1、因落实政府采购政策进行价格调整的，以调整后的价格计算评标基准价和投标报价,详见《价格扣除》。</w:t>
            </w:r>
          </w:p>
          <w:p>
            <w:pPr>
              <w:widowControl/>
              <w:spacing w:line="288" w:lineRule="auto"/>
              <w:textAlignment w:val="baseline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2、投标报价得分四舍五入后，小数点后保留四位有效数；</w:t>
            </w:r>
          </w:p>
        </w:tc>
      </w:tr>
      <w:bookmarkEnd w:id="0"/>
    </w:tbl>
    <w:p>
      <w:pPr>
        <w:snapToGrid w:val="0"/>
        <w:spacing w:line="360" w:lineRule="auto"/>
        <w:rPr>
          <w:rFonts w:ascii="宋体" w:hAnsi="宋体" w:cs="宋体"/>
          <w:snapToGrid w:val="0"/>
        </w:rPr>
      </w:pPr>
    </w:p>
    <w:p>
      <w:pPr>
        <w:snapToGrid w:val="0"/>
        <w:spacing w:line="360" w:lineRule="auto"/>
        <w:rPr>
          <w:rFonts w:ascii="宋体" w:hAnsi="宋体" w:cs="宋体"/>
          <w:snapToGrid w:val="0"/>
        </w:rPr>
      </w:pPr>
      <w:r>
        <w:rPr>
          <w:rFonts w:hint="eastAsia" w:ascii="宋体" w:hAnsi="宋体" w:cs="宋体"/>
          <w:snapToGrid w:val="0"/>
        </w:rPr>
        <w:t>备注：</w:t>
      </w:r>
    </w:p>
    <w:p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要求提交的与评价指标体系相关的各类有效资料，供应商如未按要求提交的，该项评分为零分。</w:t>
      </w:r>
    </w:p>
    <w:p>
      <w:r>
        <w:rPr>
          <w:rFonts w:hint="eastAsia" w:ascii="宋体" w:hAnsi="宋体" w:cs="宋体"/>
          <w:bCs/>
          <w:lang w:val="en-US" w:eastAsia="zh-CN"/>
        </w:rPr>
        <w:t>2.</w:t>
      </w:r>
      <w:r>
        <w:rPr>
          <w:rFonts w:hint="eastAsia" w:ascii="宋体" w:hAnsi="宋体" w:cs="宋体"/>
          <w:bCs/>
        </w:rPr>
        <w:t>技术、商务部分评分：所有评委评分分值的算术平均值（四舍五入后，</w:t>
      </w:r>
      <w:r>
        <w:rPr>
          <w:rFonts w:hint="eastAsia" w:ascii="宋体" w:hAnsi="宋体" w:cs="宋体"/>
        </w:rPr>
        <w:t>小数点后保留四位有效数</w:t>
      </w:r>
      <w:r>
        <w:rPr>
          <w:rFonts w:hint="eastAsia" w:ascii="宋体" w:hAnsi="宋体" w:cs="宋体"/>
          <w:bCs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2CF"/>
    <w:multiLevelType w:val="multilevel"/>
    <w:tmpl w:val="418832C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7A4B2A13"/>
    <w:multiLevelType w:val="singleLevel"/>
    <w:tmpl w:val="7A4B2A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MTI1ZjBkZDczY2JiNTBiZjg3MGVhOGY1YmMzZmQifQ=="/>
  </w:docVars>
  <w:rsids>
    <w:rsidRoot w:val="1463220E"/>
    <w:rsid w:val="00001502"/>
    <w:rsid w:val="08C37AF8"/>
    <w:rsid w:val="0A9B6164"/>
    <w:rsid w:val="0D5A5A7C"/>
    <w:rsid w:val="0F4D15D7"/>
    <w:rsid w:val="1463220E"/>
    <w:rsid w:val="16B9082C"/>
    <w:rsid w:val="1EA84411"/>
    <w:rsid w:val="298C5FF3"/>
    <w:rsid w:val="2A1844F4"/>
    <w:rsid w:val="2DA008CF"/>
    <w:rsid w:val="341F727C"/>
    <w:rsid w:val="34750392"/>
    <w:rsid w:val="3C6653A8"/>
    <w:rsid w:val="3D6804E6"/>
    <w:rsid w:val="3DEA5824"/>
    <w:rsid w:val="494E0E02"/>
    <w:rsid w:val="4C4D26CD"/>
    <w:rsid w:val="4E7A0473"/>
    <w:rsid w:val="51D41A7B"/>
    <w:rsid w:val="57FA13D3"/>
    <w:rsid w:val="5A885FE2"/>
    <w:rsid w:val="60B06CDD"/>
    <w:rsid w:val="65B01505"/>
    <w:rsid w:val="679E148E"/>
    <w:rsid w:val="6B655902"/>
    <w:rsid w:val="71C6121D"/>
    <w:rsid w:val="743A1D88"/>
    <w:rsid w:val="7897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  <w:style w:type="paragraph" w:customStyle="1" w:styleId="3">
    <w:name w:val="正文1"/>
    <w:next w:val="4"/>
    <w:qFormat/>
    <w:uiPriority w:val="0"/>
    <w:pPr>
      <w:ind w:firstLine="360"/>
    </w:pPr>
    <w:rPr>
      <w:rFonts w:hint="eastAsia" w:ascii="Times New Roman" w:hAnsi="Times New Roman" w:eastAsia="宋体" w:cs="Times New Roman"/>
      <w:sz w:val="22"/>
      <w:lang w:val="en-US" w:eastAsia="en-US" w:bidi="ar-SA"/>
    </w:rPr>
  </w:style>
  <w:style w:type="paragraph" w:customStyle="1" w:styleId="4">
    <w:name w:val="正文文本1"/>
    <w:basedOn w:val="3"/>
    <w:qFormat/>
    <w:uiPriority w:val="0"/>
    <w:pPr>
      <w:spacing w:before="0" w:after="120"/>
      <w:jc w:val="both"/>
    </w:pPr>
    <w:rPr>
      <w:szCs w:val="24"/>
    </w:rPr>
  </w:style>
  <w:style w:type="paragraph" w:styleId="5">
    <w:name w:val="Normal Indent"/>
    <w:basedOn w:val="1"/>
    <w:next w:val="1"/>
    <w:qFormat/>
    <w:uiPriority w:val="0"/>
    <w:pPr>
      <w:autoSpaceDE/>
      <w:autoSpaceDN/>
      <w:adjustRightInd/>
      <w:ind w:firstLine="420"/>
      <w:jc w:val="both"/>
    </w:pPr>
    <w:rPr>
      <w:kern w:val="2"/>
      <w:szCs w:val="20"/>
    </w:rPr>
  </w:style>
  <w:style w:type="paragraph" w:styleId="6">
    <w:name w:val="annotation text"/>
    <w:basedOn w:val="1"/>
    <w:qFormat/>
    <w:uiPriority w:val="0"/>
  </w:style>
  <w:style w:type="paragraph" w:styleId="7">
    <w:name w:val="Body Text"/>
    <w:basedOn w:val="1"/>
    <w:next w:val="8"/>
    <w:qFormat/>
    <w:uiPriority w:val="0"/>
    <w:pPr>
      <w:autoSpaceDE/>
      <w:autoSpaceDN/>
      <w:adjustRightInd/>
      <w:spacing w:after="120"/>
      <w:jc w:val="both"/>
    </w:pPr>
    <w:rPr>
      <w:kern w:val="2"/>
      <w:szCs w:val="24"/>
    </w:rPr>
  </w:style>
  <w:style w:type="paragraph" w:styleId="8">
    <w:name w:val="Body Text 2"/>
    <w:basedOn w:val="1"/>
    <w:qFormat/>
    <w:uiPriority w:val="0"/>
    <w:rPr>
      <w:rFonts w:ascii="宋体" w:hAnsi="宋体"/>
      <w:szCs w:val="24"/>
      <w:u w:val="single"/>
    </w:rPr>
  </w:style>
  <w:style w:type="paragraph" w:styleId="9">
    <w:name w:val="Body Text Indent"/>
    <w:basedOn w:val="1"/>
    <w:next w:val="10"/>
    <w:qFormat/>
    <w:uiPriority w:val="0"/>
    <w:pPr>
      <w:ind w:firstLine="570"/>
    </w:pPr>
    <w:rPr>
      <w:sz w:val="28"/>
    </w:rPr>
  </w:style>
  <w:style w:type="paragraph" w:styleId="10">
    <w:name w:val="envelope return"/>
    <w:basedOn w:val="1"/>
    <w:qFormat/>
    <w:uiPriority w:val="0"/>
    <w:pPr>
      <w:snapToGrid w:val="0"/>
    </w:pPr>
    <w:rPr>
      <w:rFonts w:ascii="Arial" w:hAnsi="Arial"/>
      <w:szCs w:val="24"/>
    </w:rPr>
  </w:style>
  <w:style w:type="paragraph" w:styleId="11">
    <w:name w:val="Body Text First Indent 2"/>
    <w:basedOn w:val="9"/>
    <w:next w:val="7"/>
    <w:unhideWhenUsed/>
    <w:qFormat/>
    <w:uiPriority w:val="0"/>
    <w:pPr>
      <w:ind w:firstLine="420"/>
    </w:pPr>
    <w:rPr>
      <w:rFonts w:asci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1341</Words>
  <Characters>1366</Characters>
  <Lines>0</Lines>
  <Paragraphs>0</Paragraphs>
  <TotalTime>2</TotalTime>
  <ScaleCrop>false</ScaleCrop>
  <LinksUpToDate>false</LinksUpToDate>
  <CharactersWithSpaces>1376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2022-08-17T08:46:00Z</dcterms:created>
  <dc:creator>A 公立標識 ( 深圳 ) 制造商丨黎R</dc:creator>
  <cp:lastModifiedBy>Mischa</cp:lastModifiedBy>
  <cp:lastPrinted>2022-12-05T01:50:00Z</cp:lastPrinted>
  <dcterms:modified xsi:type="dcterms:W3CDTF">2022-12-05T03:06:15Z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E9688A6FB27645C49A2099F3DB62B837</vt:lpwstr>
  </property>
</Properties>
</file>