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</w:rPr>
      </w:pPr>
      <w:r>
        <w:rPr>
          <w:rFonts w:eastAsia="黑体"/>
        </w:rPr>
        <w:t>附件</w:t>
      </w:r>
    </w:p>
    <w:p>
      <w:pPr>
        <w:spacing w:line="400" w:lineRule="exact"/>
        <w:jc w:val="center"/>
        <w:rPr>
          <w:rFonts w:eastAsia="楷体_GB2312"/>
          <w:b/>
          <w:bCs/>
          <w:sz w:val="40"/>
          <w:szCs w:val="40"/>
        </w:rPr>
      </w:pPr>
      <w:r>
        <w:rPr>
          <w:rFonts w:eastAsia="方正小标宋简体"/>
          <w:sz w:val="40"/>
          <w:szCs w:val="40"/>
        </w:rPr>
        <w:t>202</w:t>
      </w:r>
      <w:r>
        <w:rPr>
          <w:rFonts w:hint="eastAsia" w:eastAsia="方正小标宋简体"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年工伤保险长期待遇调整情况表</w:t>
      </w:r>
    </w:p>
    <w:p>
      <w:pPr>
        <w:spacing w:line="400" w:lineRule="exact"/>
        <w:jc w:val="left"/>
        <w:rPr>
          <w:rFonts w:eastAsia="楷体_GB2312"/>
          <w:b/>
          <w:bCs/>
          <w:color w:val="auto"/>
          <w:sz w:val="24"/>
          <w:szCs w:val="24"/>
        </w:rPr>
      </w:pPr>
      <w:r>
        <w:rPr>
          <w:rFonts w:hint="eastAsia" w:eastAsia="楷体_GB2312"/>
          <w:b/>
          <w:bCs/>
          <w:color w:val="auto"/>
          <w:sz w:val="24"/>
          <w:szCs w:val="24"/>
        </w:rPr>
        <w:t>表1：1-4级伤残津贴</w:t>
      </w:r>
      <w:r>
        <w:rPr>
          <w:rFonts w:eastAsia="楷体_GB2312"/>
          <w:b/>
          <w:bCs/>
          <w:color w:val="auto"/>
          <w:sz w:val="24"/>
          <w:szCs w:val="24"/>
        </w:rPr>
        <w:t xml:space="preserve">                                           </w:t>
      </w:r>
      <w:r>
        <w:rPr>
          <w:rFonts w:hint="eastAsia" w:eastAsia="楷体_GB2312"/>
          <w:b/>
          <w:bCs/>
          <w:color w:val="auto"/>
          <w:sz w:val="24"/>
          <w:szCs w:val="24"/>
        </w:rPr>
        <w:t xml:space="preserve">                         </w:t>
      </w:r>
      <w:r>
        <w:rPr>
          <w:rFonts w:eastAsia="楷体_GB2312"/>
          <w:b/>
          <w:bCs/>
          <w:color w:val="auto"/>
          <w:sz w:val="24"/>
          <w:szCs w:val="24"/>
        </w:rPr>
        <w:t xml:space="preserve"> 单位：人、元。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2276"/>
        <w:gridCol w:w="2891"/>
        <w:gridCol w:w="3913"/>
        <w:gridCol w:w="27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bookmarkStart w:id="0" w:name="_GoBack" w:colFirst="4" w:colLast="4"/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伤残等级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参与调整人数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调整后平均待遇标准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其中：按照“托底线”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4511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元发放人数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auto"/>
                <w:kern w:val="0"/>
                <w:sz w:val="21"/>
                <w:szCs w:val="21"/>
                <w:lang w:bidi="ar"/>
              </w:rPr>
              <w:t>另外：养老待遇补差人数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楷体_GB2312"/>
                <w:color w:val="00000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楷体_GB2312"/>
                <w:color w:val="00000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楷体_GB2312"/>
                <w:color w:val="00000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楷体_GB2312"/>
                <w:color w:val="00000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  <w:lang w:bidi="ar"/>
              </w:rPr>
              <w:t>四级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楷体_GB2312"/>
                <w:color w:val="00000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</w:tr>
    </w:tbl>
    <w:p>
      <w:pPr>
        <w:spacing w:before="156" w:beforeLines="50" w:line="400" w:lineRule="exact"/>
        <w:jc w:val="left"/>
        <w:rPr>
          <w:rFonts w:eastAsia="楷体_GB2312"/>
          <w:b/>
          <w:bCs/>
          <w:sz w:val="24"/>
          <w:szCs w:val="24"/>
        </w:rPr>
      </w:pPr>
      <w:r>
        <w:rPr>
          <w:rFonts w:eastAsia="楷体_GB2312"/>
          <w:b/>
          <w:bCs/>
          <w:sz w:val="24"/>
          <w:szCs w:val="24"/>
        </w:rPr>
        <w:t xml:space="preserve">表2：生活护理费                                                   </w:t>
      </w:r>
      <w:r>
        <w:rPr>
          <w:rFonts w:hint="eastAsia" w:eastAsia="楷体_GB2312"/>
          <w:b/>
          <w:bCs/>
          <w:sz w:val="24"/>
          <w:szCs w:val="24"/>
        </w:rPr>
        <w:t xml:space="preserve">                     </w:t>
      </w:r>
      <w:r>
        <w:rPr>
          <w:rFonts w:eastAsia="楷体_GB2312"/>
          <w:b/>
          <w:bCs/>
          <w:sz w:val="24"/>
          <w:szCs w:val="24"/>
        </w:rPr>
        <w:t>单位：人、元。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2611"/>
        <w:gridCol w:w="2841"/>
        <w:gridCol w:w="3053"/>
        <w:gridCol w:w="30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护理等级</w:t>
            </w:r>
          </w:p>
        </w:tc>
        <w:tc>
          <w:tcPr>
            <w:tcW w:w="5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szCs w:val="22"/>
                <w:lang w:bidi="ar"/>
              </w:rPr>
              <w:t>普遍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调整办法</w:t>
            </w:r>
          </w:p>
        </w:tc>
        <w:tc>
          <w:tcPr>
            <w:tcW w:w="6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szCs w:val="22"/>
                <w:lang w:bidi="ar"/>
              </w:rPr>
              <w:t>特定人员调整办法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参与调整人数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调整后平均待遇标准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参与调整人数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调整后平均待遇标准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楷体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  <w:lang w:bidi="ar"/>
              </w:rPr>
              <w:t>一级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楷体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楷体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楷体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  <w:lang w:bidi="ar"/>
              </w:rPr>
              <w:t>四级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楷体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 xml:space="preserve">               元</w:t>
            </w:r>
          </w:p>
        </w:tc>
      </w:tr>
    </w:tbl>
    <w:p>
      <w:pPr>
        <w:spacing w:before="156" w:beforeLines="50" w:line="400" w:lineRule="exact"/>
        <w:jc w:val="left"/>
        <w:rPr>
          <w:rFonts w:eastAsia="楷体_GB2312"/>
          <w:b/>
          <w:bCs/>
          <w:sz w:val="24"/>
          <w:szCs w:val="24"/>
        </w:rPr>
      </w:pPr>
      <w:r>
        <w:rPr>
          <w:rFonts w:eastAsia="楷体_GB2312"/>
          <w:b/>
          <w:bCs/>
          <w:sz w:val="24"/>
          <w:szCs w:val="24"/>
        </w:rPr>
        <w:t xml:space="preserve">表3：供养亲属抚恤金                                  </w:t>
      </w:r>
      <w:r>
        <w:rPr>
          <w:rFonts w:hint="eastAsia" w:eastAsia="楷体_GB2312"/>
          <w:b/>
          <w:bCs/>
          <w:sz w:val="24"/>
          <w:szCs w:val="24"/>
        </w:rPr>
        <w:t xml:space="preserve">                                  </w:t>
      </w:r>
      <w:r>
        <w:rPr>
          <w:rFonts w:eastAsia="楷体_GB2312"/>
          <w:b/>
          <w:bCs/>
          <w:sz w:val="24"/>
          <w:szCs w:val="24"/>
        </w:rPr>
        <w:t>单位：人、元。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0"/>
        <w:gridCol w:w="2830"/>
        <w:gridCol w:w="3607"/>
        <w:gridCol w:w="36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参与调整人数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调整后平均待遇标准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其中：“托底线”人</w:t>
            </w:r>
            <w:r>
              <w:rPr>
                <w:rFonts w:hint="eastAsia" w:eastAsia="黑体"/>
                <w:color w:val="000000"/>
                <w:kern w:val="0"/>
                <w:sz w:val="22"/>
                <w:szCs w:val="22"/>
                <w:lang w:bidi="ar"/>
              </w:rPr>
              <w:t>数及标准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szCs w:val="22"/>
                <w:lang w:bidi="ar"/>
              </w:rPr>
              <w:t>其中：配偶、孤寡老人、孤儿人数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2420" w:firstLineChars="1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人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2420" w:firstLineChars="1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元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人/         元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080" w:firstLineChars="14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人</w:t>
            </w:r>
          </w:p>
        </w:tc>
      </w:tr>
    </w:tbl>
    <w:p>
      <w:r>
        <w:rPr>
          <w:sz w:val="24"/>
          <w:szCs w:val="24"/>
        </w:rPr>
        <w:t>说明：</w:t>
      </w:r>
      <w:r>
        <w:rPr>
          <w:rFonts w:hint="eastAsia"/>
          <w:sz w:val="24"/>
          <w:szCs w:val="24"/>
        </w:rPr>
        <w:t>上述</w:t>
      </w:r>
      <w:r>
        <w:rPr>
          <w:sz w:val="24"/>
          <w:szCs w:val="24"/>
        </w:rPr>
        <w:t>参与调整人数、调整后平均待遇标准和参与“托底线”调整人数，</w:t>
      </w:r>
      <w:r>
        <w:rPr>
          <w:rFonts w:hint="eastAsia" w:ascii="黑体" w:hAnsi="黑体" w:eastAsia="黑体" w:cs="黑体"/>
          <w:sz w:val="24"/>
          <w:szCs w:val="24"/>
        </w:rPr>
        <w:t>均以调整后的2022年1月份实际数为统计口径</w:t>
      </w:r>
      <w:r>
        <w:rPr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WQ2N2M3YjQ2ZmM4M2FiM2I1ZDIzYjFmZjUyMzkifQ=="/>
    <w:docVar w:name="KSO_WPS_MARK_KEY" w:val="e26d542b-ff25-4c70-a73a-1f39a952cf29"/>
  </w:docVars>
  <w:rsids>
    <w:rsidRoot w:val="0083068D"/>
    <w:rsid w:val="00076BCB"/>
    <w:rsid w:val="0083068D"/>
    <w:rsid w:val="28382692"/>
    <w:rsid w:val="321E6625"/>
    <w:rsid w:val="44725E64"/>
    <w:rsid w:val="562E6689"/>
    <w:rsid w:val="5C407FD3"/>
    <w:rsid w:val="5EE65064"/>
    <w:rsid w:val="666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321</Words>
  <Characters>333</Characters>
  <Lines>8</Lines>
  <Paragraphs>2</Paragraphs>
  <TotalTime>9</TotalTime>
  <ScaleCrop>false</ScaleCrop>
  <LinksUpToDate>false</LinksUpToDate>
  <CharactersWithSpaces>1066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2021-09-03T01:48:00Z</dcterms:created>
  <dc:creator>Administrator</dc:creator>
  <cp:lastModifiedBy>P小密</cp:lastModifiedBy>
  <dcterms:modified xsi:type="dcterms:W3CDTF">2022-12-15T01:32:49Z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E884E187338943B4BC219741510341CA</vt:lpwstr>
  </property>
</Properties>
</file>