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3460"/>
        <w:gridCol w:w="750"/>
        <w:gridCol w:w="800"/>
        <w:gridCol w:w="616"/>
        <w:gridCol w:w="800"/>
        <w:gridCol w:w="800"/>
        <w:gridCol w:w="734"/>
        <w:gridCol w:w="666"/>
        <w:gridCol w:w="8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02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32"/>
                <w:szCs w:val="32"/>
              </w:rPr>
              <w:t>蓬江区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32"/>
                <w:szCs w:val="32"/>
              </w:rPr>
              <w:t>公众责任险城市照明设施投保区域清单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填报单位：江门市蓬江区市政设施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eastAsia="zh-CN"/>
              </w:rPr>
              <w:t>维护和管理中心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2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填报日期：202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/7/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设施类型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区域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主城区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滨江大道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滨江新区启动区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杆数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盏数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杆数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盏数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杆数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盏数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杆数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盏数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路灯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有杆路灯、挂墙灯、弯灯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9614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28820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1088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1747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552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160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8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11254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32175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灯饰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灯饰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9363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（盏）</w:t>
            </w:r>
          </w:p>
        </w:tc>
        <w:tc>
          <w:tcPr>
            <w:tcW w:w="14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9363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（盏）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灯饰管（约数）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2629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（支）</w:t>
            </w:r>
          </w:p>
        </w:tc>
        <w:tc>
          <w:tcPr>
            <w:tcW w:w="14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2629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（支）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灯饰带（约数）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5031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（米）</w:t>
            </w:r>
          </w:p>
        </w:tc>
        <w:tc>
          <w:tcPr>
            <w:tcW w:w="14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5031（米）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饰灯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3938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（套）</w:t>
            </w:r>
          </w:p>
        </w:tc>
        <w:tc>
          <w:tcPr>
            <w:tcW w:w="14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3938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附属设施</w:t>
            </w: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箱式/台架式变压器（台）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30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计量表（套）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348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3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361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座地/挂墙控制箱（套）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382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时控器控制终端（套）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137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精讯单灯控制器（套）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7007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1484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540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9031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精讯监控终端（台）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333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348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正力监控终端（台）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7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智慧用电安全管理终端（东华桥南引桥）（台）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三鑫虹监控终端（台）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113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四遥智能节电柜（台）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五邑华侨广场灯光秀附属设施（服务器及机柜、音箱、水泵、灯饰箱）（套）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万达广场、五邑华侨广场灯光秀控制终端（套）</w:t>
            </w:r>
          </w:p>
        </w:tc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jc w:val="center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102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备注：  蓬江区纳入城市照明管理的设施养护范围东至北新路，南至蓬江河跨河桥梁，西至杜阮高速口收费站，北至鹤山交界处，覆盖蓬江主城区、滨江新区启动区和滨江大道，遍布辖区各主次干 道、支路、楼宇、大街小巷、居民区、桥梁、隧道、广场、小公园 公共绿地等。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hMWQ2NGYwZWY4ZDRjZjY3YmRmZTcxZThjMTc2MTAifQ=="/>
  </w:docVars>
  <w:rsids>
    <w:rsidRoot w:val="00881E29"/>
    <w:rsid w:val="00881E29"/>
    <w:rsid w:val="00A9133B"/>
    <w:rsid w:val="00F75D1D"/>
    <w:rsid w:val="0AC53F0E"/>
    <w:rsid w:val="0DE755A6"/>
    <w:rsid w:val="16586921"/>
    <w:rsid w:val="1C2F2E9F"/>
    <w:rsid w:val="1EED3BB5"/>
    <w:rsid w:val="2C1122C4"/>
    <w:rsid w:val="528B6DE4"/>
    <w:rsid w:val="573546DB"/>
    <w:rsid w:val="6A9553FA"/>
    <w:rsid w:val="73DE4C68"/>
    <w:rsid w:val="7AA1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496</Words>
  <Characters>593</Characters>
  <Lines>5</Lines>
  <Paragraphs>1</Paragraphs>
  <TotalTime>85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2022-06-24T07:52:00Z</dcterms:created>
  <dc:creator>Administrator</dc:creator>
  <cp:lastModifiedBy>Administrator</cp:lastModifiedBy>
  <dcterms:modified xsi:type="dcterms:W3CDTF">2023-07-13T08:28:17Z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FDAB1A8D32594EF7BBB7465D40DCF10C_13</vt:lpwstr>
  </property>
</Properties>
</file>