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E59" w:rsidRDefault="00531D8D">
      <w:pPr>
        <w:spacing w:line="576" w:lineRule="exact"/>
        <w:rPr>
          <w:rFonts w:ascii="方正黑体_GBK" w:eastAsia="方正黑体_GBK" w:hAnsi="方正黑体_GBK" w:cs="方正黑体_GBK"/>
          <w:sz w:val="32"/>
          <w:szCs w:val="32"/>
          <w:lang w:eastAsia="zh-CN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  <w:lang w:eastAsia="zh-CN"/>
        </w:rPr>
        <w:t>附件4</w:t>
      </w:r>
    </w:p>
    <w:p w:rsidR="00531D8D" w:rsidRDefault="00531D8D">
      <w:pPr>
        <w:spacing w:line="680" w:lineRule="exact"/>
        <w:jc w:val="center"/>
        <w:rPr>
          <w:rFonts w:ascii="方正小标宋_GBK" w:eastAsia="方正小标宋_GBK"/>
          <w:sz w:val="44"/>
          <w:szCs w:val="44"/>
          <w:lang w:eastAsia="zh-CN"/>
        </w:rPr>
      </w:pPr>
    </w:p>
    <w:p w:rsidR="00D31E59" w:rsidRDefault="00531D8D">
      <w:pPr>
        <w:spacing w:line="680" w:lineRule="exact"/>
        <w:jc w:val="center"/>
        <w:rPr>
          <w:lang w:eastAsia="zh-CN"/>
        </w:rPr>
      </w:pPr>
      <w:bookmarkStart w:id="0" w:name="_GoBack"/>
      <w:r>
        <w:rPr>
          <w:rFonts w:ascii="方正小标宋_GBK" w:eastAsia="方正小标宋_GBK" w:hint="eastAsia"/>
          <w:sz w:val="44"/>
          <w:szCs w:val="44"/>
          <w:lang w:eastAsia="zh-CN"/>
        </w:rPr>
        <w:t>蓬江区2024国有资本经营预算调整情况说明</w:t>
      </w:r>
    </w:p>
    <w:bookmarkEnd w:id="0"/>
    <w:p w:rsidR="00D31E59" w:rsidRDefault="00D31E59">
      <w:pPr>
        <w:spacing w:line="576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eastAsia="zh-CN"/>
        </w:rPr>
      </w:pPr>
    </w:p>
    <w:p w:rsidR="00D31E59" w:rsidRPr="00531D8D" w:rsidRDefault="00531D8D" w:rsidP="00531D8D">
      <w:pPr>
        <w:spacing w:line="576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根据区委</w:t>
      </w:r>
      <w:r w:rsidR="003D3641"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区政府国资国企改革工作要求，蓬江区国资新成立四大集团公司，四大集团公司目前处于筹备阶段，为做好四大集团公司开业准备工作，同时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CN"/>
        </w:rPr>
        <w:t>结合区属国企的实际经营情况，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拟对2024年度国有资本经营预算支出情况作相应调整，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lang w:eastAsia="zh-CN"/>
        </w:rPr>
        <w:t>具体情况现报告如下：</w:t>
      </w:r>
    </w:p>
    <w:p w:rsidR="00D31E59" w:rsidRDefault="00531D8D">
      <w:pPr>
        <w:spacing w:line="576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z w:val="32"/>
          <w:szCs w:val="32"/>
          <w:lang w:eastAsia="zh-CN"/>
        </w:rPr>
        <w:t>一、2024年国有资本经营预算收入情况</w:t>
      </w:r>
    </w:p>
    <w:p w:rsidR="00D31E59" w:rsidRDefault="00531D8D">
      <w:pPr>
        <w:spacing w:line="576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2024年区本级国有资本经营预算总收入为17072万元，其中：</w:t>
      </w:r>
    </w:p>
    <w:p w:rsidR="00D31E59" w:rsidRDefault="00531D8D">
      <w:pPr>
        <w:spacing w:line="576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（一）利润收入为9415万元，是江门市滨江建设投资管理有限公司上缴利润收入，占预算总收入的</w:t>
      </w:r>
      <w:r>
        <w:rPr>
          <w:rFonts w:ascii="仿宋_GB2312" w:eastAsia="仿宋_GB2312" w:hAnsi="仿宋_GB2312" w:cs="仿宋_GB2312"/>
          <w:sz w:val="32"/>
          <w:szCs w:val="32"/>
          <w:lang w:eastAsia="zh-CN"/>
        </w:rPr>
        <w:t>55.15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%；</w:t>
      </w:r>
    </w:p>
    <w:p w:rsidR="00D31E59" w:rsidRDefault="00531D8D">
      <w:pPr>
        <w:spacing w:line="576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（二）转移性收入28万元，</w:t>
      </w: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为提前下达2024年国有企业退休人员社会化管理中央财政补助资金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，占预算总收入的0.16%；</w:t>
      </w:r>
    </w:p>
    <w:p w:rsidR="00D31E59" w:rsidRDefault="00531D8D">
      <w:pPr>
        <w:spacing w:line="576" w:lineRule="exact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（三）2023年结转</w:t>
      </w:r>
      <w:r>
        <w:rPr>
          <w:rFonts w:ascii="仿宋_GB2312" w:eastAsia="仿宋_GB2312" w:hAnsi="仿宋_GB2312" w:cs="仿宋_GB2312"/>
          <w:sz w:val="32"/>
          <w:szCs w:val="32"/>
          <w:lang w:eastAsia="zh-CN"/>
        </w:rPr>
        <w:t>7629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万元，占预算总收入的</w:t>
      </w:r>
      <w:r>
        <w:rPr>
          <w:rFonts w:ascii="仿宋_GB2312" w:eastAsia="仿宋_GB2312" w:hAnsi="仿宋_GB2312" w:cs="仿宋_GB2312"/>
          <w:sz w:val="32"/>
          <w:szCs w:val="32"/>
          <w:lang w:eastAsia="zh-CN"/>
        </w:rPr>
        <w:t>44.69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%。</w:t>
      </w:r>
    </w:p>
    <w:p w:rsidR="00D31E59" w:rsidRDefault="00531D8D">
      <w:pPr>
        <w:spacing w:line="576" w:lineRule="exact"/>
        <w:ind w:firstLineChars="200" w:firstLine="640"/>
        <w:jc w:val="both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sz w:val="32"/>
          <w:szCs w:val="32"/>
          <w:lang w:eastAsia="zh-CN"/>
        </w:rPr>
        <w:t>二、2024年国有资本经营预算支出调整情况</w:t>
      </w:r>
    </w:p>
    <w:p w:rsidR="00D31E59" w:rsidRDefault="00531D8D">
      <w:pPr>
        <w:spacing w:line="576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按照2024年收入计划，本年预算总支出在保持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变为</w:t>
      </w:r>
      <w:r>
        <w:rPr>
          <w:rFonts w:ascii="仿宋_GB2312" w:eastAsia="仿宋_GB2312" w:hAnsi="仿宋_GB2312" w:cs="仿宋_GB2312"/>
          <w:sz w:val="32"/>
          <w:szCs w:val="32"/>
          <w:lang w:eastAsia="zh-CN"/>
        </w:rPr>
        <w:t>17072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万元情况下，对支出明细作相应调整，</w:t>
      </w:r>
      <w:r>
        <w:rPr>
          <w:rFonts w:ascii="仿宋_GB2312" w:eastAsia="仿宋_GB2312" w:hAnsi="仿宋" w:hint="eastAsia"/>
          <w:sz w:val="32"/>
          <w:szCs w:val="32"/>
          <w:lang w:eastAsia="zh-CN"/>
        </w:rPr>
        <w:t>其中：</w:t>
      </w:r>
    </w:p>
    <w:p w:rsidR="00D31E59" w:rsidRDefault="00531D8D">
      <w:pPr>
        <w:autoSpaceDE/>
        <w:autoSpaceDN/>
        <w:spacing w:line="576" w:lineRule="exact"/>
        <w:ind w:firstLineChars="200" w:firstLine="640"/>
        <w:jc w:val="both"/>
        <w:rPr>
          <w:rFonts w:ascii="仿宋_GB2312" w:eastAsia="仿宋_GB2312" w:hAnsi="仿宋"/>
          <w:color w:val="000000"/>
          <w:sz w:val="32"/>
          <w:szCs w:val="32"/>
          <w:lang w:eastAsia="zh-CN"/>
        </w:rPr>
      </w:pPr>
      <w:r>
        <w:rPr>
          <w:rFonts w:ascii="仿宋_GB2312" w:eastAsia="仿宋_GB2312" w:hAnsi="仿宋" w:hint="eastAsia"/>
          <w:sz w:val="32"/>
          <w:szCs w:val="32"/>
          <w:lang w:eastAsia="zh-CN"/>
        </w:rPr>
        <w:t>（一）</w:t>
      </w: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国有企业资本金注入支出总体保持</w:t>
      </w:r>
      <w:proofErr w:type="gramStart"/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不</w:t>
      </w:r>
      <w:proofErr w:type="gramEnd"/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变为</w:t>
      </w:r>
      <w:r>
        <w:rPr>
          <w:rFonts w:ascii="仿宋_GB2312" w:eastAsia="仿宋_GB2312" w:hAnsi="仿宋" w:cs="仿宋"/>
          <w:sz w:val="32"/>
          <w:szCs w:val="32"/>
          <w:lang w:eastAsia="zh-CN"/>
        </w:rPr>
        <w:t>11933</w:t>
      </w: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万</w:t>
      </w: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lastRenderedPageBreak/>
        <w:t>元，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3000万元注资给江门市蓬江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区侨邦文旅集团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有限公司，2000万元注资给江门市蓬江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区侨城建设集团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有限公司，3933万元注资给江门市蓬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江区侨兴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投资集团有限公司，3000万元注资给江门市蓬江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区侨盛发展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集团有限公司。</w:t>
      </w: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调整为：</w:t>
      </w: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2000万元注资给江门市蓬江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区侨邦文旅集团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有限公司，2000万元注资给江门市蓬江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区侨城建设集团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有限公司，5433万元注资给江门市蓬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江区侨兴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投资集团有限公司，2500万元注资给江门市蓬江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区侨盛发展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集团有限公司</w:t>
      </w: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；</w:t>
      </w:r>
    </w:p>
    <w:p w:rsidR="00D31E59" w:rsidRDefault="00531D8D">
      <w:pPr>
        <w:autoSpaceDE/>
        <w:autoSpaceDN/>
        <w:spacing w:line="576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  <w:lang w:eastAsia="zh-CN"/>
        </w:rPr>
      </w:pPr>
      <w:r>
        <w:rPr>
          <w:rFonts w:ascii="仿宋_GB2312" w:eastAsia="仿宋_GB2312" w:hAnsi="仿宋" w:hint="eastAsia"/>
          <w:color w:val="000000"/>
          <w:sz w:val="32"/>
          <w:szCs w:val="32"/>
          <w:lang w:eastAsia="zh-CN"/>
        </w:rPr>
        <w:t>（二）</w:t>
      </w:r>
      <w:r>
        <w:rPr>
          <w:rFonts w:ascii="仿宋_GB2312" w:eastAsia="仿宋_GB2312" w:hAnsi="仿宋" w:hint="eastAsia"/>
          <w:sz w:val="32"/>
          <w:szCs w:val="32"/>
          <w:lang w:eastAsia="zh-CN"/>
        </w:rPr>
        <w:t>解决历史遗留问题及改革成本支出保持</w:t>
      </w:r>
      <w:proofErr w:type="gramStart"/>
      <w:r>
        <w:rPr>
          <w:rFonts w:ascii="仿宋_GB2312" w:eastAsia="仿宋_GB2312" w:hAnsi="仿宋" w:hint="eastAsia"/>
          <w:sz w:val="32"/>
          <w:szCs w:val="32"/>
          <w:lang w:eastAsia="zh-CN"/>
        </w:rPr>
        <w:t>不</w:t>
      </w:r>
      <w:proofErr w:type="gramEnd"/>
      <w:r>
        <w:rPr>
          <w:rFonts w:ascii="仿宋_GB2312" w:eastAsia="仿宋_GB2312" w:hAnsi="仿宋" w:hint="eastAsia"/>
          <w:sz w:val="32"/>
          <w:szCs w:val="32"/>
          <w:lang w:eastAsia="zh-CN"/>
        </w:rPr>
        <w:t>变为139万元</w:t>
      </w:r>
      <w:r>
        <w:rPr>
          <w:rFonts w:ascii="仿宋_GB2312" w:eastAsia="仿宋_GB2312" w:hAnsi="仿宋" w:hint="eastAsia"/>
          <w:color w:val="000000"/>
          <w:sz w:val="32"/>
          <w:szCs w:val="32"/>
          <w:lang w:eastAsia="zh-CN"/>
        </w:rPr>
        <w:t>；</w:t>
      </w:r>
    </w:p>
    <w:p w:rsidR="00D31E59" w:rsidRDefault="00531D8D">
      <w:pPr>
        <w:autoSpaceDE/>
        <w:autoSpaceDN/>
        <w:spacing w:line="576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  <w:lang w:eastAsia="zh-CN"/>
        </w:rPr>
      </w:pP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（三）调入一般公共预算5000万元保持不变，占企业利润上缴总额的</w:t>
      </w:r>
      <w:r>
        <w:rPr>
          <w:rFonts w:ascii="仿宋_GB2312" w:eastAsia="仿宋_GB2312" w:hAnsi="仿宋" w:cs="仿宋"/>
          <w:sz w:val="32"/>
          <w:szCs w:val="32"/>
          <w:lang w:eastAsia="zh-CN"/>
        </w:rPr>
        <w:t>53.11</w:t>
      </w: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%；</w:t>
      </w:r>
    </w:p>
    <w:p w:rsidR="00D31E59" w:rsidRDefault="00531D8D">
      <w:pPr>
        <w:autoSpaceDE/>
        <w:autoSpaceDN/>
        <w:spacing w:line="576" w:lineRule="exact"/>
        <w:ind w:firstLineChars="200" w:firstLine="640"/>
        <w:jc w:val="both"/>
        <w:rPr>
          <w:rFonts w:ascii="仿宋_GB2312" w:eastAsia="仿宋_GB2312" w:hAnsi="仿宋"/>
          <w:color w:val="000000"/>
          <w:sz w:val="32"/>
          <w:szCs w:val="32"/>
          <w:lang w:eastAsia="zh-CN"/>
        </w:rPr>
      </w:pPr>
      <w:r>
        <w:rPr>
          <w:rFonts w:ascii="仿宋_GB2312" w:eastAsia="仿宋_GB2312" w:hAnsi="仿宋" w:cs="仿宋" w:hint="eastAsia"/>
          <w:sz w:val="32"/>
          <w:szCs w:val="32"/>
          <w:lang w:eastAsia="zh-CN"/>
        </w:rPr>
        <w:t>（四）</w:t>
      </w:r>
      <w:r>
        <w:rPr>
          <w:rFonts w:ascii="仿宋_GB2312" w:eastAsia="仿宋_GB2312" w:hAnsi="仿宋" w:hint="eastAsia"/>
          <w:color w:val="000000"/>
          <w:sz w:val="32"/>
          <w:szCs w:val="32"/>
          <w:lang w:eastAsia="zh-CN"/>
        </w:rPr>
        <w:t>2024年拟不留结转资金。</w:t>
      </w:r>
    </w:p>
    <w:p w:rsidR="00D31E59" w:rsidRDefault="00D31E59">
      <w:pPr>
        <w:pStyle w:val="Default"/>
        <w:widowControl/>
        <w:spacing w:line="576" w:lineRule="exact"/>
        <w:ind w:firstLineChars="200" w:firstLine="640"/>
        <w:jc w:val="both"/>
        <w:textAlignment w:val="center"/>
        <w:rPr>
          <w:rFonts w:ascii="仿宋_GB2312" w:eastAsia="仿宋_GB2312" w:hAnsi="仿宋_GB2312" w:cs="仿宋_GB2312"/>
          <w:sz w:val="32"/>
          <w:szCs w:val="32"/>
        </w:rPr>
      </w:pPr>
    </w:p>
    <w:p w:rsidR="00D31E59" w:rsidRDefault="00531D8D">
      <w:pPr>
        <w:spacing w:line="576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eastAsia="zh-CN"/>
        </w:rPr>
        <w:t>附件：2024年国有资本经营预算收支总表（调整预算）</w:t>
      </w:r>
    </w:p>
    <w:p w:rsidR="00D31E59" w:rsidRDefault="00D31E59">
      <w:pPr>
        <w:pStyle w:val="Default"/>
        <w:spacing w:line="576" w:lineRule="exact"/>
        <w:ind w:left="2144" w:hangingChars="670" w:hanging="2144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:rsidR="00D31E59" w:rsidRDefault="00D31E59">
      <w:pPr>
        <w:spacing w:line="576" w:lineRule="exact"/>
        <w:jc w:val="center"/>
        <w:rPr>
          <w:rFonts w:ascii="仿宋_GB2312" w:eastAsia="仿宋_GB2312" w:hAnsi="仿宋_GB2312" w:cs="仿宋_GB2312"/>
          <w:sz w:val="32"/>
          <w:szCs w:val="32"/>
          <w:lang w:eastAsia="zh-CN"/>
        </w:rPr>
      </w:pPr>
    </w:p>
    <w:sectPr w:rsidR="00D31E59">
      <w:pgSz w:w="11910" w:h="16840"/>
      <w:pgMar w:top="1984" w:right="1587" w:bottom="2098" w:left="1587" w:header="850" w:footer="1587" w:gutter="0"/>
      <w:pgNumType w:fmt="numberInDash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FC3" w:rsidRDefault="00531D8D">
      <w:r>
        <w:separator/>
      </w:r>
    </w:p>
  </w:endnote>
  <w:endnote w:type="continuationSeparator" w:id="0">
    <w:p w:rsidR="002D5FC3" w:rsidRDefault="00531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黑体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方正小标宋_GBK">
    <w:panose1 w:val="03000502000000000000"/>
    <w:charset w:val="86"/>
    <w:family w:val="auto"/>
    <w:pitch w:val="variable"/>
    <w:sig w:usb0="A00002BF" w:usb1="38CF7CFA" w:usb2="00082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FC3" w:rsidRDefault="00531D8D">
      <w:r>
        <w:separator/>
      </w:r>
    </w:p>
  </w:footnote>
  <w:footnote w:type="continuationSeparator" w:id="0">
    <w:p w:rsidR="002D5FC3" w:rsidRDefault="00531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k0ZjJmZWU2Y2UyZjZiNzEzMTU3YjlmYmNlNTU3OTcifQ=="/>
  </w:docVars>
  <w:rsids>
    <w:rsidRoot w:val="000E3767"/>
    <w:rsid w:val="FEDFD117"/>
    <w:rsid w:val="FFEF82CC"/>
    <w:rsid w:val="00095316"/>
    <w:rsid w:val="000E3767"/>
    <w:rsid w:val="001A1F01"/>
    <w:rsid w:val="002D5FC3"/>
    <w:rsid w:val="003D3641"/>
    <w:rsid w:val="00531D8D"/>
    <w:rsid w:val="0053315A"/>
    <w:rsid w:val="00B10DCD"/>
    <w:rsid w:val="00BD4D8A"/>
    <w:rsid w:val="00D31E59"/>
    <w:rsid w:val="00E035D6"/>
    <w:rsid w:val="06007ECF"/>
    <w:rsid w:val="06B679E5"/>
    <w:rsid w:val="0AFFF88B"/>
    <w:rsid w:val="0D553231"/>
    <w:rsid w:val="0FAD332B"/>
    <w:rsid w:val="10F21CAF"/>
    <w:rsid w:val="1343031D"/>
    <w:rsid w:val="18BE7118"/>
    <w:rsid w:val="1FE4616F"/>
    <w:rsid w:val="24260EC0"/>
    <w:rsid w:val="30E32BBC"/>
    <w:rsid w:val="32476F97"/>
    <w:rsid w:val="32934831"/>
    <w:rsid w:val="36A323CC"/>
    <w:rsid w:val="38AF7862"/>
    <w:rsid w:val="38C8493E"/>
    <w:rsid w:val="3FEF7516"/>
    <w:rsid w:val="41A0668C"/>
    <w:rsid w:val="42FA192C"/>
    <w:rsid w:val="460860DD"/>
    <w:rsid w:val="46E25492"/>
    <w:rsid w:val="4AA04DE4"/>
    <w:rsid w:val="51584F85"/>
    <w:rsid w:val="54737314"/>
    <w:rsid w:val="553968CD"/>
    <w:rsid w:val="56135335"/>
    <w:rsid w:val="56BC95A1"/>
    <w:rsid w:val="57AD7989"/>
    <w:rsid w:val="57FD2189"/>
    <w:rsid w:val="5A613005"/>
    <w:rsid w:val="5C171942"/>
    <w:rsid w:val="61130CD3"/>
    <w:rsid w:val="66F73A97"/>
    <w:rsid w:val="6A5073A2"/>
    <w:rsid w:val="6A871CD0"/>
    <w:rsid w:val="6C2336C8"/>
    <w:rsid w:val="6D4D2752"/>
    <w:rsid w:val="6DEE04A0"/>
    <w:rsid w:val="713F6856"/>
    <w:rsid w:val="73385E96"/>
    <w:rsid w:val="77F714C0"/>
    <w:rsid w:val="79F12EBB"/>
    <w:rsid w:val="7D5663B5"/>
    <w:rsid w:val="7F6659CF"/>
    <w:rsid w:val="7FFFF4E9"/>
    <w:rsid w:val="A172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2">
    <w:name w:val="toc 2"/>
    <w:basedOn w:val="a"/>
    <w:next w:val="a"/>
    <w:uiPriority w:val="39"/>
    <w:unhideWhenUsed/>
    <w:qFormat/>
    <w:pPr>
      <w:tabs>
        <w:tab w:val="right" w:leader="dot" w:pos="8296"/>
      </w:tabs>
      <w:spacing w:line="500" w:lineRule="exact"/>
      <w:ind w:leftChars="200" w:left="200"/>
    </w:pPr>
    <w:rPr>
      <w:rFonts w:eastAsia="仿宋"/>
      <w:sz w:val="24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Times New Roman" w:hint="eastAsia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NormalCharacter">
    <w:name w:val="NormalCharacter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115</Words>
  <Characters>659</Characters>
  <Application>Microsoft Office Word</Application>
  <DocSecurity>0</DocSecurity>
  <Lines>5</Lines>
  <Paragraphs>1</Paragraphs>
  <ScaleCrop>false</ScaleCrop>
  <Company>contoso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星尘</dc:creator>
  <cp:lastModifiedBy>PC</cp:lastModifiedBy>
  <cp:revision>6</cp:revision>
  <cp:lastPrinted>2023-09-27T19:20:00Z</cp:lastPrinted>
  <dcterms:created xsi:type="dcterms:W3CDTF">2022-11-25T20:46:00Z</dcterms:created>
  <dcterms:modified xsi:type="dcterms:W3CDTF">2024-12-26T08:15:00Z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2022-11-24T00:00:00Z</vt:filetime>
  </property>
  <property fmtid="{D5CDD505-2E9C-101B-9397-08002B2CF9AE}" pid="5" name="KSOProductBuildVer">
    <vt:lpwstr>2052-11.8.2.9980</vt:lpwstr>
  </property>
  <property fmtid="{D5CDD505-2E9C-101B-9397-08002B2CF9AE}" pid="6" name="ICV">
    <vt:lpwstr>332F82B7109D444D876AE5D4AA36C4A6</vt:lpwstr>
  </property>
</Properties>
</file>