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2025年度江门市蓬江区智慧政务办公平台</w:t>
      </w:r>
    </w:p>
    <w:p>
      <w:pPr>
        <w:snapToGrid w:val="0"/>
        <w:spacing w:line="576"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运维服务项目采购需求</w:t>
      </w:r>
    </w:p>
    <w:p>
      <w:pPr>
        <w:spacing w:line="576" w:lineRule="exact"/>
        <w:jc w:val="center"/>
        <w:rPr>
          <w:rFonts w:hint="eastAsia" w:ascii="宋体" w:hAnsi="宋体" w:cs="方正大标宋简体"/>
          <w:bCs/>
          <w:sz w:val="32"/>
          <w:szCs w:val="32"/>
        </w:rPr>
      </w:pP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一、项目概述</w:t>
      </w:r>
    </w:p>
    <w:p>
      <w:pPr>
        <w:pStyle w:val="4"/>
        <w:numPr>
          <w:ilvl w:val="1"/>
          <w:numId w:val="0"/>
        </w:numPr>
        <w:spacing w:before="0" w:after="0" w:line="576" w:lineRule="exact"/>
        <w:ind w:firstLine="640" w:firstLineChars="200"/>
        <w:jc w:val="left"/>
        <w:rPr>
          <w:rFonts w:hint="eastAsia" w:ascii="楷体_GB2312" w:hAnsi="楷体_GB2312" w:eastAsia="楷体_GB2312" w:cs="楷体_GB2312"/>
          <w:bCs/>
        </w:rPr>
      </w:pPr>
      <w:r>
        <w:rPr>
          <w:rFonts w:hint="eastAsia" w:ascii="楷体_GB2312" w:hAnsi="楷体_GB2312" w:eastAsia="楷体_GB2312" w:cs="楷体_GB2312"/>
          <w:bCs/>
        </w:rPr>
        <w:t>（一）项目名称和采购方式、预算金额</w:t>
      </w:r>
    </w:p>
    <w:p>
      <w:pPr>
        <w:widowControl w:val="0"/>
        <w:spacing w:line="576" w:lineRule="exact"/>
        <w:ind w:left="2238" w:leftChars="266" w:hanging="1600" w:hangingChars="5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项目名称：2025年度江门市蓬江区智慧政务办公平台运维服务项目</w:t>
      </w:r>
    </w:p>
    <w:p>
      <w:pPr>
        <w:widowControl w:val="0"/>
        <w:spacing w:line="576"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采购方式：网上询价</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预算金额：</w:t>
      </w:r>
      <w:r>
        <w:rPr>
          <w:rFonts w:hint="eastAsia" w:ascii="仿宋_GB2312" w:hAnsi="仿宋_GB2312" w:eastAsia="仿宋_GB2312" w:cs="仿宋_GB2312"/>
          <w:color w:val="000000"/>
          <w:sz w:val="32"/>
          <w:szCs w:val="32"/>
        </w:rPr>
        <w:t>人民币</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00.00</w:t>
      </w:r>
      <w:r>
        <w:rPr>
          <w:rFonts w:hint="eastAsia" w:ascii="仿宋_GB2312" w:hAnsi="仿宋_GB2312" w:eastAsia="仿宋_GB2312" w:cs="仿宋_GB2312"/>
          <w:color w:val="000000"/>
          <w:sz w:val="32"/>
          <w:szCs w:val="32"/>
        </w:rPr>
        <w:t>元（大写：</w:t>
      </w:r>
      <w:r>
        <w:rPr>
          <w:rFonts w:hint="eastAsia" w:ascii="仿宋_GB2312" w:hAnsi="仿宋_GB2312" w:eastAsia="仿宋_GB2312" w:cs="仿宋_GB2312"/>
          <w:sz w:val="32"/>
          <w:szCs w:val="32"/>
        </w:rPr>
        <w:t>人民币</w:t>
      </w:r>
      <w:r>
        <w:rPr>
          <w:rFonts w:hint="eastAsia" w:ascii="仿宋_GB2312" w:hAnsi="宋体" w:eastAsia="仿宋_GB2312" w:cs="宋体"/>
          <w:sz w:val="32"/>
          <w:szCs w:val="32"/>
        </w:rPr>
        <w:t>贰拾</w:t>
      </w:r>
      <w:r>
        <w:rPr>
          <w:rFonts w:hint="eastAsia" w:ascii="仿宋_GB2312" w:hAnsi="宋体" w:eastAsia="仿宋_GB2312" w:cs="宋体"/>
          <w:sz w:val="32"/>
          <w:szCs w:val="32"/>
          <w:lang w:eastAsia="zh-CN"/>
        </w:rPr>
        <w:t>肆</w:t>
      </w:r>
      <w:r>
        <w:rPr>
          <w:rFonts w:hint="eastAsia" w:ascii="仿宋_GB2312" w:hAnsi="宋体" w:eastAsia="仿宋_GB2312" w:cs="宋体"/>
          <w:sz w:val="32"/>
          <w:szCs w:val="32"/>
        </w:rPr>
        <w:t>万元整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超过预算金额报价无效。</w:t>
      </w:r>
    </w:p>
    <w:p>
      <w:pPr>
        <w:pStyle w:val="4"/>
        <w:numPr>
          <w:ilvl w:val="1"/>
          <w:numId w:val="0"/>
        </w:numPr>
        <w:spacing w:before="0" w:after="0" w:line="576" w:lineRule="exact"/>
        <w:ind w:firstLine="640" w:firstLineChars="200"/>
        <w:jc w:val="left"/>
        <w:rPr>
          <w:rFonts w:hint="eastAsia" w:ascii="楷体_GB2312" w:hAnsi="楷体_GB2312" w:eastAsia="楷体_GB2312" w:cs="楷体_GB2312"/>
          <w:bCs/>
        </w:rPr>
      </w:pPr>
      <w:r>
        <w:rPr>
          <w:rFonts w:hint="eastAsia" w:ascii="楷体_GB2312" w:hAnsi="楷体_GB2312" w:eastAsia="楷体_GB2312" w:cs="楷体_GB2312"/>
          <w:bCs/>
        </w:rPr>
        <w:t>（二）内容及包组情况（技术规格、参数及要求）</w:t>
      </w:r>
    </w:p>
    <w:tbl>
      <w:tblPr>
        <w:tblStyle w:val="20"/>
        <w:tblW w:w="48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1052"/>
        <w:gridCol w:w="118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 w:hRule="atLeast"/>
          <w:jc w:val="center"/>
        </w:trPr>
        <w:tc>
          <w:tcPr>
            <w:tcW w:w="2728" w:type="pct"/>
            <w:vAlign w:val="center"/>
          </w:tcPr>
          <w:p>
            <w:pPr>
              <w:pStyle w:val="14"/>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采购标的</w:t>
            </w:r>
          </w:p>
        </w:tc>
        <w:tc>
          <w:tcPr>
            <w:tcW w:w="605" w:type="pct"/>
            <w:vAlign w:val="center"/>
          </w:tcPr>
          <w:p>
            <w:pPr>
              <w:pStyle w:val="14"/>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682" w:type="pct"/>
            <w:vAlign w:val="center"/>
          </w:tcPr>
          <w:p>
            <w:pPr>
              <w:pStyle w:val="14"/>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项目</w:t>
            </w:r>
          </w:p>
          <w:p>
            <w:pPr>
              <w:pStyle w:val="14"/>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内容</w:t>
            </w:r>
          </w:p>
        </w:tc>
        <w:tc>
          <w:tcPr>
            <w:tcW w:w="984" w:type="pct"/>
            <w:vAlign w:val="center"/>
          </w:tcPr>
          <w:p>
            <w:pPr>
              <w:pStyle w:val="14"/>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2728" w:type="pct"/>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2025年度江门市蓬江区智慧政务办公平台运维服务项目</w:t>
            </w:r>
          </w:p>
        </w:tc>
        <w:tc>
          <w:tcPr>
            <w:tcW w:w="605" w:type="pct"/>
            <w:vAlign w:val="center"/>
          </w:tcPr>
          <w:p>
            <w:pPr>
              <w:pStyle w:val="14"/>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w:t>
            </w:r>
          </w:p>
        </w:tc>
        <w:tc>
          <w:tcPr>
            <w:tcW w:w="682" w:type="pct"/>
            <w:vAlign w:val="center"/>
          </w:tcPr>
          <w:p>
            <w:pPr>
              <w:pStyle w:val="14"/>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详见</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需求</w:t>
            </w:r>
          </w:p>
        </w:tc>
        <w:tc>
          <w:tcPr>
            <w:tcW w:w="984" w:type="pct"/>
            <w:vAlign w:val="center"/>
          </w:tcPr>
          <w:p>
            <w:pPr>
              <w:pStyle w:val="14"/>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自合同签订后一年</w:t>
            </w:r>
          </w:p>
        </w:tc>
      </w:tr>
    </w:tbl>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二、供应商资格要求</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供应商应具备《中华人民共和国政府采购法》第二十二条规定的条件，提供下列材料：</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1.供应商应当是具有合法经营资格的法人或者其他组织，具有良好的信誉；</w:t>
      </w:r>
    </w:p>
    <w:p>
      <w:pPr>
        <w:pStyle w:val="2"/>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2.供应商须具备本项目履约的专业技术和能力；</w:t>
      </w:r>
    </w:p>
    <w:p>
      <w:pPr>
        <w:spacing w:line="576"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pPr>
        <w:spacing w:line="576"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4.供应商未被列入“信用中国”网站(</w:t>
      </w:r>
      <w:r>
        <w:fldChar w:fldCharType="begin"/>
      </w:r>
      <w:r>
        <w:instrText xml:space="preserve"> HYPERLINK "http://www.creditchina.gov.cn)" </w:instrText>
      </w:r>
      <w:r>
        <w:fldChar w:fldCharType="separate"/>
      </w:r>
      <w:r>
        <w:rPr>
          <w:rStyle w:val="22"/>
          <w:rFonts w:hint="eastAsia" w:ascii="仿宋_GB2312" w:hAnsi="仿宋_GB2312" w:eastAsia="仿宋_GB2312" w:cs="仿宋_GB2312"/>
          <w:bCs/>
          <w:color w:val="auto"/>
          <w:sz w:val="32"/>
          <w:szCs w:val="32"/>
          <w:u w:val="none"/>
        </w:rPr>
        <w:t>www.creditchina.gov.cn)“记录失信被</w:t>
      </w:r>
      <w:r>
        <w:rPr>
          <w:rStyle w:val="22"/>
          <w:rFonts w:hint="eastAsia" w:ascii="仿宋_GB2312" w:hAnsi="仿宋_GB2312" w:eastAsia="仿宋_GB2312" w:cs="仿宋_GB2312"/>
          <w:bCs/>
          <w:color w:val="auto"/>
          <w:sz w:val="32"/>
          <w:szCs w:val="32"/>
          <w:u w:val="none"/>
        </w:rPr>
        <w:fldChar w:fldCharType="end"/>
      </w:r>
      <w:r>
        <w:rPr>
          <w:rFonts w:hint="eastAsia" w:ascii="仿宋_GB2312" w:hAnsi="仿宋_GB2312" w:eastAsia="仿宋_GB2312" w:cs="仿宋_GB2312"/>
          <w:sz w:val="32"/>
          <w:szCs w:val="32"/>
        </w:rPr>
        <w:t xml:space="preserve">执行人或重大税收违法案件当事人名单或政府采购严重违法失信行为”记录名单;不处于中国政府采购网(www.ccgp.gov.cn)“政府采购严重违法失信行为信息记录”中的禁止参加政府采购活动期间； </w:t>
      </w:r>
    </w:p>
    <w:p>
      <w:pPr>
        <w:spacing w:line="576"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5.单位负责人为同一人或者存在直接控股、管理关系的不同供应商，不得参加同一合同项下的政府采购活动；</w:t>
      </w:r>
    </w:p>
    <w:p>
      <w:pPr>
        <w:spacing w:line="576"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6.本项目不接受联合体投标。</w:t>
      </w: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三、服务需求</w:t>
      </w:r>
    </w:p>
    <w:p>
      <w:pPr>
        <w:spacing w:line="576"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为蓬江区智慧政务办公平台（以下简称为：办公平台）提供高效的运维服务，解决各单位用户在使用系统过程中遇到的问题，确保办公平台的安全、稳定、正常运行，主要包括如下工作：</w:t>
      </w:r>
    </w:p>
    <w:p>
      <w:pPr>
        <w:pStyle w:val="4"/>
        <w:numPr>
          <w:ilvl w:val="1"/>
          <w:numId w:val="0"/>
        </w:numPr>
        <w:spacing w:before="0" w:after="0" w:line="576" w:lineRule="exact"/>
        <w:ind w:firstLine="600" w:firstLineChars="200"/>
        <w:jc w:val="left"/>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（一）办公平台运维保障工作</w:t>
      </w:r>
    </w:p>
    <w:p>
      <w:pPr>
        <w:spacing w:line="576" w:lineRule="exact"/>
        <w:ind w:firstLine="642" w:firstLineChars="200"/>
        <w:jc w:val="both"/>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zh-CN"/>
        </w:rPr>
        <w:t>日常运维工作</w:t>
      </w:r>
    </w:p>
    <w:p>
      <w:pPr>
        <w:spacing w:line="576"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）基础数据维护，用户账户密码调整、权限调整、流程调整、业务表单调整、业务类型调整等配置类数据调整。</w:t>
      </w:r>
    </w:p>
    <w:p>
      <w:pPr>
        <w:spacing w:line="576"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对办公平台提示的程序错误、各单位公文流程和表单错误进行处理，及时纠正因程序问题引起的数据缺陷，及时处理办公平台突发性故障。负责协调处理办公平台所用第三方产品OA侧的问题，如与省电子印章系统、省电子公文交换系统等，因上级接口更新的，及时对本办公平台程序进行调整。</w:t>
      </w:r>
    </w:p>
    <w:p>
      <w:pPr>
        <w:spacing w:line="576"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）对办公平台功能进行定期检查与跟踪、例行维护，进行诊断测试，查看错误信息、性能调优、功能完善等，提供巡检报告，保证办公平台处于平稳运行的状态。</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val="zh-CN"/>
        </w:rPr>
        <w:t>委托方</w:t>
      </w:r>
      <w:r>
        <w:rPr>
          <w:rFonts w:hint="eastAsia" w:ascii="仿宋_GB2312" w:hAnsi="仿宋_GB2312" w:eastAsia="仿宋_GB2312" w:cs="仿宋_GB2312"/>
          <w:sz w:val="32"/>
          <w:szCs w:val="32"/>
        </w:rPr>
        <w:t>需求，及时响应提取办公平台后台数据。</w:t>
      </w:r>
    </w:p>
    <w:p>
      <w:pPr>
        <w:spacing w:line="576" w:lineRule="exac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2.系统功能优化 </w:t>
      </w:r>
    </w:p>
    <w:p>
      <w:pPr>
        <w:pStyle w:val="2"/>
        <w:numPr>
          <w:ilvl w:val="0"/>
          <w:numId w:val="2"/>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功能优化：</w:t>
      </w:r>
      <w:r>
        <w:rPr>
          <w:rFonts w:hint="eastAsia" w:ascii="仿宋_GB2312" w:hAnsi="仿宋_GB2312" w:eastAsia="仿宋_GB2312" w:cs="仿宋_GB2312"/>
          <w:sz w:val="32"/>
          <w:szCs w:val="32"/>
          <w:lang w:eastAsia="zh-CN"/>
        </w:rPr>
        <w:t>新增投诉建议</w:t>
      </w:r>
      <w:r>
        <w:rPr>
          <w:rFonts w:hint="eastAsia" w:ascii="仿宋_GB2312" w:hAnsi="仿宋_GB2312" w:eastAsia="仿宋_GB2312" w:cs="仿宋_GB2312"/>
          <w:sz w:val="32"/>
          <w:szCs w:val="32"/>
        </w:rPr>
        <w:t>功能</w:t>
      </w:r>
      <w:r>
        <w:rPr>
          <w:rFonts w:hint="eastAsia" w:ascii="仿宋_GB2312" w:hAnsi="仿宋_GB2312" w:eastAsia="仿宋_GB2312" w:cs="仿宋_GB2312"/>
          <w:sz w:val="32"/>
          <w:szCs w:val="32"/>
          <w:lang w:eastAsia="zh-CN"/>
        </w:rPr>
        <w:t>；</w:t>
      </w:r>
    </w:p>
    <w:p>
      <w:pPr>
        <w:pStyle w:val="2"/>
        <w:numPr>
          <w:ilvl w:val="0"/>
          <w:numId w:val="2"/>
        </w:num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优化：将手机端</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pp现有功能迁移集成到粤政易工作台。</w:t>
      </w:r>
    </w:p>
    <w:p>
      <w:pPr>
        <w:spacing w:line="576" w:lineRule="exac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3.办公平台操作培训</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根据委托方的关注点和在系统中的应用层面不同，对管理层用户、业务部门用户、办公平台管理员和其他用户人员按需进行针对性的培训。</w:t>
      </w:r>
    </w:p>
    <w:p>
      <w:pPr>
        <w:widowControl w:val="0"/>
        <w:spacing w:line="576" w:lineRule="exac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4.办公平台安全防护保障</w:t>
      </w:r>
    </w:p>
    <w:p>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委托方要求对办公平台进行补丁升级，对等保测评以及日常安全扫描、渗透发现的漏洞进行整改；在攻防演练前期，加强技术力量保障，做好相关安全自检及修复工作；发现异常情况，第一时间反馈并提供相应的解决方案、措施，包括但不限于以下方面：</w:t>
      </w:r>
    </w:p>
    <w:p>
      <w:pPr>
        <w:pStyle w:val="6"/>
        <w:spacing w:before="0" w:beforeLines="0" w:after="0" w:afterLines="0" w:line="576" w:lineRule="exact"/>
        <w:ind w:firstLine="640" w:firstLineChars="200"/>
        <w:rPr>
          <w:rFonts w:hint="eastAsia" w:ascii="仿宋_GB2312" w:hAnsi="仿宋_GB2312" w:eastAsia="仿宋_GB2312" w:cs="仿宋_GB2312"/>
          <w:bCs w:val="0"/>
          <w:szCs w:val="32"/>
        </w:rPr>
      </w:pPr>
      <w:r>
        <w:rPr>
          <w:rFonts w:hint="eastAsia" w:ascii="仿宋_GB2312" w:hAnsi="仿宋_GB2312" w:eastAsia="仿宋_GB2312" w:cs="仿宋_GB2312"/>
          <w:bCs w:val="0"/>
          <w:szCs w:val="32"/>
        </w:rPr>
        <w:t>安全评估：对办公平台进行安全评估，找出潜在的安全漏洞和风险。</w:t>
      </w:r>
    </w:p>
    <w:p>
      <w:pPr>
        <w:pStyle w:val="6"/>
        <w:spacing w:before="0" w:beforeLines="0" w:after="0" w:afterLines="0" w:line="576" w:lineRule="exact"/>
        <w:ind w:firstLine="640" w:firstLineChars="200"/>
        <w:rPr>
          <w:rFonts w:hint="eastAsia" w:ascii="仿宋_GB2312" w:hAnsi="仿宋_GB2312" w:eastAsia="仿宋_GB2312" w:cs="仿宋_GB2312"/>
          <w:bCs w:val="0"/>
          <w:szCs w:val="32"/>
        </w:rPr>
      </w:pPr>
      <w:r>
        <w:rPr>
          <w:rFonts w:hint="eastAsia" w:ascii="仿宋_GB2312" w:hAnsi="仿宋_GB2312" w:eastAsia="仿宋_GB2312" w:cs="仿宋_GB2312"/>
          <w:bCs w:val="0"/>
          <w:szCs w:val="32"/>
        </w:rPr>
        <w:t>安全加固：根据评估结果，对软件系统进行安全加固，配合现有防火墙、入侵检测系统、反病毒软件等，提高系统的安全性，保护软件系统免受攻击。</w:t>
      </w:r>
    </w:p>
    <w:p>
      <w:pPr>
        <w:pStyle w:val="6"/>
        <w:spacing w:before="0" w:beforeLines="0" w:after="0" w:afterLines="0" w:line="576" w:lineRule="exact"/>
        <w:ind w:firstLine="640" w:firstLineChars="200"/>
        <w:rPr>
          <w:rFonts w:hint="eastAsia" w:ascii="仿宋_GB2312" w:hAnsi="仿宋_GB2312" w:eastAsia="仿宋_GB2312" w:cs="仿宋_GB2312"/>
          <w:bCs w:val="0"/>
          <w:szCs w:val="32"/>
        </w:rPr>
      </w:pPr>
      <w:r>
        <w:rPr>
          <w:rFonts w:hint="eastAsia" w:ascii="仿宋_GB2312" w:hAnsi="仿宋_GB2312" w:eastAsia="仿宋_GB2312" w:cs="仿宋_GB2312"/>
          <w:bCs w:val="0"/>
          <w:szCs w:val="32"/>
        </w:rPr>
        <w:t>安全监控：对办公平台的安全状况进行实时监控，及时发现和处理安全事件。</w:t>
      </w:r>
    </w:p>
    <w:p>
      <w:pPr>
        <w:pStyle w:val="6"/>
        <w:spacing w:before="0" w:beforeLines="0" w:after="0" w:afterLines="0" w:line="576" w:lineRule="exact"/>
        <w:ind w:firstLine="640" w:firstLineChars="200"/>
        <w:rPr>
          <w:rFonts w:hint="eastAsia" w:ascii="仿宋_GB2312" w:hAnsi="仿宋_GB2312" w:eastAsia="仿宋_GB2312" w:cs="仿宋_GB2312"/>
          <w:bCs w:val="0"/>
          <w:szCs w:val="32"/>
        </w:rPr>
      </w:pPr>
      <w:r>
        <w:rPr>
          <w:rFonts w:hint="eastAsia" w:ascii="仿宋_GB2312" w:hAnsi="仿宋_GB2312" w:eastAsia="仿宋_GB2312" w:cs="仿宋_GB2312"/>
          <w:bCs w:val="0"/>
          <w:szCs w:val="32"/>
        </w:rPr>
        <w:t>应急响应：建立应急响应机制，及时应对安全事件，减少损失。</w:t>
      </w:r>
    </w:p>
    <w:p>
      <w:pPr>
        <w:spacing w:line="576" w:lineRule="exact"/>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5.项目运维交付物</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（1）办公平台维护记录表、修复记录。</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（2）季度运维报告。</w:t>
      </w:r>
    </w:p>
    <w:p>
      <w:pPr>
        <w:spacing w:line="576" w:lineRule="exact"/>
        <w:ind w:firstLine="600" w:firstLineChars="200"/>
        <w:rPr>
          <w:rFonts w:hint="eastAsia" w:ascii="楷体_GB2312" w:hAnsi="楷体_GB2312" w:eastAsia="楷体_GB2312" w:cs="楷体_GB2312"/>
          <w:bCs/>
          <w:sz w:val="30"/>
          <w:szCs w:val="30"/>
        </w:rPr>
      </w:pPr>
      <w:r>
        <w:rPr>
          <w:rFonts w:hint="eastAsia" w:ascii="楷体_GB2312" w:hAnsi="楷体_GB2312" w:eastAsia="楷体_GB2312" w:cs="楷体_GB2312"/>
          <w:bCs/>
          <w:sz w:val="30"/>
          <w:szCs w:val="30"/>
        </w:rPr>
        <w:t>（二）服务器管理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对服务器进行不定期的常规巡检，主要工作包含：对项目范围内服务器及系统数据备份进行常规检查，保障办公平台访问及备份正常。</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1.巡检工作项</w:t>
      </w:r>
    </w:p>
    <w:p>
      <w:pPr>
        <w:pStyle w:val="6"/>
        <w:numPr>
          <w:ilvl w:val="3"/>
          <w:numId w:val="3"/>
        </w:numPr>
        <w:spacing w:before="0" w:beforeLines="0" w:after="0" w:afterLines="0" w:line="576"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系统运行状况：检查服务器上的应用程序是否正常运行，是否存在异常崩溃、死机等情况。</w:t>
      </w:r>
    </w:p>
    <w:p>
      <w:pPr>
        <w:pStyle w:val="6"/>
        <w:numPr>
          <w:ilvl w:val="3"/>
          <w:numId w:val="3"/>
        </w:numPr>
        <w:spacing w:before="0" w:beforeLines="0" w:after="0" w:afterLines="0" w:line="576"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数据备份：检查服务器上的数据备份情况，确保数据的安全性和可恢复性。</w:t>
      </w:r>
    </w:p>
    <w:p>
      <w:pPr>
        <w:pStyle w:val="6"/>
        <w:numPr>
          <w:ilvl w:val="3"/>
          <w:numId w:val="3"/>
        </w:numPr>
        <w:spacing w:before="0" w:beforeLines="0" w:after="0" w:afterLines="0" w:line="576"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服务支持：在对办公平台进行运维过程中，配合委托方对服务器的硬件设备的工作状态、网络状态、操作系统更新及运行性能、数据库等服务器健康情况进行检查；联合本项目所用的第三方厂家产品进行优化、排查故障，如检查并优化数据库、文档在线预览等；如发现异常情况需及时告知委托方，配合委托方对故障进行修复。</w:t>
      </w:r>
    </w:p>
    <w:p>
      <w:pPr>
        <w:pStyle w:val="5"/>
        <w:numPr>
          <w:ilvl w:val="2"/>
          <w:numId w:val="0"/>
        </w:numPr>
        <w:spacing w:before="0" w:after="0" w:line="576"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2.巡检交付物</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对巡检工作做好记录存档，巡检记录表包含以下信息（不限于）：巡检日期、巡检人、巡检内容项、巡检结果（正常/异常）、异常情况处理建议、异常情况处理结果、异常情况处理完成日期。</w:t>
      </w: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四、供应商的责任和义务</w:t>
      </w:r>
    </w:p>
    <w:p>
      <w:pPr>
        <w:widowControl w:val="0"/>
        <w:spacing w:line="576" w:lineRule="exact"/>
        <w:ind w:firstLine="640" w:firstLineChars="200"/>
        <w:jc w:val="both"/>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（一）供应商服务团队要求</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1.日常运维项目组人员不得少于2人，项目组人员需熟练掌握办公平台运维技能；涉及开发工作的，能额外安排充足力量保障开发进度和质量。</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2.供应商需确保服务团队的在职情况不影响服务质量，不得以技术人员离职、休假等原因延迟或不提供服务。</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3.供应商跟进服务时，需按要求及时完成，并按委托方要求通过指定沟通渠道或系统回复完成情况。</w:t>
      </w:r>
    </w:p>
    <w:p>
      <w:pPr>
        <w:widowControl w:val="0"/>
        <w:spacing w:line="576" w:lineRule="exact"/>
        <w:ind w:firstLine="640" w:firstLineChars="200"/>
        <w:jc w:val="both"/>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（二）服务响应要求</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项目有效服务期内，提供现场维护、远程维护服务。现场维护为5天×9小时（工作日每天8：30至17：30）的应用系统软件的代码维护和数据维护服务；远程维护为7天×24小时问题解答和技术指导服务。出现特殊或紧急情况时，需及时派出资深工程师到现场，进行响应服务。对系统故障问题根据情况划分严重级别，根据严重级别做出相应的服务响应。系统故障响应时间不超过15分钟，其他工作响应时间不超过1个小时。</w:t>
      </w: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五、保密条款</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须承诺严格遵守国家关于保密（包括隐私）方面的所有法律法规，对涉及蓬江区政府机关的数据及资料保密，加强对相关人员的信息安全及保密宣传、培训及管理。所有服务期间内，可能或必须知道的用户书面资料或其他拷贝，必须在维修完成后交委托方验收及统一管理，不得保留书面或其他形式的拷贝，并对已知的数据、资料保密。</w:t>
      </w: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六、结算方式</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（一）委托方以项目打包的方式向供应商购买服务，本次项目的服务费预算金额：240000元，大写：人民币贰拾肆万元整，超过预算金额报价无效。</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（二）预算金额为本次项目总金额，合同期内委托方将不以任何形式支付附加工作酬金。</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（三）付款方式：合同签订后30个工作日支付合同款30%，服务6个月后支付合同款60%，服务期结束支付合同款10%。</w:t>
      </w: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七、选定原则与中标方法</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本项目按能够最大限度地满足采购需求文件中规定的各项综合标准及服务质量的原则，综合评分优选供应商，价格不是唯一因素。优选因素包括如下： </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1.具有ISO9001质量管理体系认证资格；</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2.具有ISO20000信息技术服务管理体系认证资格；</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3.具有电子政务服务能力等级认证资格；</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4.具有政务OA项目研发能力、运维能力，可提供同类项目经验；</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5.具有机关单位安全维护项目经验；</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6.供应商在江门市内设有固定的售后服务团队，保障服务现场响应时效。</w:t>
      </w:r>
    </w:p>
    <w:p>
      <w:pPr>
        <w:pStyle w:val="3"/>
        <w:numPr>
          <w:ilvl w:val="0"/>
          <w:numId w:val="0"/>
        </w:numPr>
        <w:spacing w:before="0" w:after="0" w:line="576" w:lineRule="exact"/>
        <w:ind w:firstLine="640" w:firstLineChars="200"/>
        <w:jc w:val="left"/>
        <w:rPr>
          <w:rFonts w:hint="eastAsia" w:ascii="黑体" w:hAnsi="黑体" w:eastAsia="黑体" w:cs="黑体"/>
          <w:b w:val="0"/>
          <w:kern w:val="0"/>
          <w:sz w:val="32"/>
          <w:szCs w:val="32"/>
          <w:lang w:val="zh-CN"/>
        </w:rPr>
      </w:pPr>
      <w:r>
        <w:rPr>
          <w:rFonts w:hint="eastAsia" w:ascii="黑体" w:hAnsi="黑体" w:eastAsia="黑体" w:cs="黑体"/>
          <w:b w:val="0"/>
          <w:kern w:val="0"/>
          <w:sz w:val="32"/>
          <w:szCs w:val="32"/>
          <w:lang w:val="zh-CN"/>
        </w:rPr>
        <w:t>八、提交投标文件截止时间、要求</w:t>
      </w:r>
    </w:p>
    <w:p>
      <w:pPr>
        <w:spacing w:line="576" w:lineRule="exact"/>
        <w:ind w:firstLine="656"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1.响应文件递交时间（截止时间）：</w:t>
      </w:r>
      <w:r>
        <w:rPr>
          <w:rFonts w:hint="eastAsia" w:ascii="仿宋_GB2312" w:hAnsi="仿宋_GB2312" w:eastAsia="仿宋_GB2312" w:cs="仿宋_GB2312"/>
          <w:b w:val="0"/>
          <w:bCs/>
          <w:spacing w:val="4"/>
          <w:sz w:val="32"/>
          <w:szCs w:val="32"/>
          <w:u w:val="single"/>
        </w:rPr>
        <w:t>2025年5月</w:t>
      </w:r>
      <w:r>
        <w:rPr>
          <w:rFonts w:hint="eastAsia" w:ascii="仿宋_GB2312" w:hAnsi="仿宋_GB2312" w:eastAsia="仿宋_GB2312" w:cs="仿宋_GB2312"/>
          <w:b w:val="0"/>
          <w:bCs/>
          <w:spacing w:val="4"/>
          <w:sz w:val="32"/>
          <w:szCs w:val="32"/>
          <w:u w:val="single"/>
          <w:lang w:val="en-US" w:eastAsia="zh-CN"/>
        </w:rPr>
        <w:t>30</w:t>
      </w:r>
      <w:r>
        <w:rPr>
          <w:rFonts w:hint="eastAsia" w:ascii="仿宋_GB2312" w:hAnsi="仿宋_GB2312" w:eastAsia="仿宋_GB2312" w:cs="仿宋_GB2312"/>
          <w:b w:val="0"/>
          <w:bCs/>
          <w:spacing w:val="4"/>
          <w:sz w:val="32"/>
          <w:szCs w:val="32"/>
          <w:u w:val="single"/>
        </w:rPr>
        <w:t>日</w:t>
      </w:r>
      <w:r>
        <w:rPr>
          <w:rFonts w:hint="eastAsia" w:ascii="仿宋_GB2312" w:hAnsi="仿宋_GB2312" w:eastAsia="仿宋_GB2312" w:cs="仿宋_GB2312"/>
          <w:b w:val="0"/>
          <w:bCs/>
          <w:spacing w:val="4"/>
          <w:sz w:val="32"/>
          <w:szCs w:val="32"/>
          <w:u w:val="single"/>
          <w:lang w:val="en-US" w:eastAsia="zh-CN"/>
        </w:rPr>
        <w:t>17</w:t>
      </w:r>
      <w:r>
        <w:rPr>
          <w:rFonts w:hint="eastAsia" w:ascii="仿宋_GB2312" w:hAnsi="仿宋_GB2312" w:eastAsia="仿宋_GB2312" w:cs="仿宋_GB2312"/>
          <w:b w:val="0"/>
          <w:bCs/>
          <w:spacing w:val="4"/>
          <w:sz w:val="32"/>
          <w:szCs w:val="32"/>
          <w:u w:val="single"/>
        </w:rPr>
        <w:t>时</w:t>
      </w:r>
      <w:r>
        <w:rPr>
          <w:rFonts w:hint="eastAsia" w:ascii="仿宋_GB2312" w:hAnsi="仿宋_GB2312" w:eastAsia="仿宋_GB2312" w:cs="仿宋_GB2312"/>
          <w:b w:val="0"/>
          <w:bCs/>
          <w:spacing w:val="4"/>
          <w:sz w:val="32"/>
          <w:szCs w:val="32"/>
          <w:u w:val="single"/>
          <w:lang w:val="en-US" w:eastAsia="zh-CN"/>
        </w:rPr>
        <w:t>30分</w:t>
      </w:r>
      <w:r>
        <w:rPr>
          <w:rFonts w:hint="eastAsia" w:ascii="仿宋_GB2312" w:hAnsi="仿宋_GB2312" w:eastAsia="仿宋_GB2312" w:cs="仿宋_GB2312"/>
          <w:spacing w:val="4"/>
          <w:sz w:val="32"/>
          <w:szCs w:val="32"/>
        </w:rPr>
        <w:t>（北京时间，下同），在此时间后送达的响应文件将不再接受。</w:t>
      </w:r>
    </w:p>
    <w:p>
      <w:pPr>
        <w:spacing w:line="576" w:lineRule="exact"/>
        <w:ind w:firstLine="656"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2.响应文件递交：江门市蓬江区政务服务和数据管理局（地址：江门市蓬江区丰乐大道10号天悦星院10号楼，联系人：</w:t>
      </w:r>
      <w:r>
        <w:fldChar w:fldCharType="begin"/>
      </w:r>
      <w:r>
        <w:instrText xml:space="preserve"> HYPERLINK "mailto:%E6%9D%A8%E5%85%88%E7%94%9F0750-3833937%EF%BC%89%E6%88%96%E5%8F%91%E9%80%81%E5%93%8D%E5%BA%94%E6%96%87%E4%BB%B6%E7%9B%96%E7%AB%A0%E7%94%B5%E5%AD%90%E7%89%88%E5%88%B0%E9%82%AE%E7%AE%B1pjqzsj@jiangmen.gov.cn%E3%80%82" </w:instrText>
      </w:r>
      <w:r>
        <w:fldChar w:fldCharType="separate"/>
      </w:r>
      <w:r>
        <w:rPr>
          <w:rFonts w:hint="eastAsia" w:ascii="仿宋_GB2312" w:hAnsi="仿宋_GB2312" w:eastAsia="仿宋_GB2312" w:cs="仿宋_GB2312"/>
          <w:spacing w:val="4"/>
          <w:sz w:val="32"/>
          <w:szCs w:val="32"/>
        </w:rPr>
        <w:t>杨先生0750-3833937）或发送响应文件盖章电子版到邮箱pjqzsj@jiangmen.gov.cn。</w:t>
      </w:r>
      <w:r>
        <w:rPr>
          <w:rFonts w:hint="eastAsia" w:ascii="仿宋_GB2312" w:hAnsi="仿宋_GB2312" w:eastAsia="仿宋_GB2312" w:cs="仿宋_GB2312"/>
          <w:spacing w:val="4"/>
          <w:sz w:val="32"/>
          <w:szCs w:val="32"/>
        </w:rPr>
        <w:fldChar w:fldCharType="end"/>
      </w:r>
    </w:p>
    <w:p>
      <w:pPr>
        <w:spacing w:line="576" w:lineRule="exact"/>
        <w:ind w:firstLine="656" w:firstLineChars="20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3.纸质响应文件需用信封密封，在密封袋上标明项目编号、供应项目名称、供应人名称，密封袋两头封口处均需贴封条。</w:t>
      </w:r>
    </w:p>
    <w:p>
      <w:pPr>
        <w:pStyle w:val="2"/>
        <w:spacing w:line="576"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4.响应文件采用邮寄、快递方式需要在响应文件递交截止时间前送达，确保采购方准时签收。</w:t>
      </w:r>
    </w:p>
    <w:sectPr>
      <w:footerReference r:id="rId5" w:type="default"/>
      <w:pgSz w:w="11906" w:h="16838"/>
      <w:pgMar w:top="2098"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ascii="宋体" w:hAnsi="宋体"/>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16"/>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E3ED5"/>
    <w:multiLevelType w:val="singleLevel"/>
    <w:tmpl w:val="CDBE3ED5"/>
    <w:lvl w:ilvl="0" w:tentative="0">
      <w:start w:val="1"/>
      <w:numFmt w:val="decimal"/>
      <w:suff w:val="nothing"/>
      <w:lvlText w:val="（%1）"/>
      <w:lvlJc w:val="left"/>
    </w:lvl>
  </w:abstractNum>
  <w:abstractNum w:abstractNumId="1">
    <w:nsid w:val="46F9D609"/>
    <w:multiLevelType w:val="multilevel"/>
    <w:tmpl w:val="46F9D609"/>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E8"/>
    <w:rsid w:val="00014E44"/>
    <w:rsid w:val="000238FF"/>
    <w:rsid w:val="00052499"/>
    <w:rsid w:val="0005488B"/>
    <w:rsid w:val="00091FAD"/>
    <w:rsid w:val="000A727D"/>
    <w:rsid w:val="000B71EA"/>
    <w:rsid w:val="000B7DE2"/>
    <w:rsid w:val="000C3A33"/>
    <w:rsid w:val="000C7FCB"/>
    <w:rsid w:val="000D70B5"/>
    <w:rsid w:val="000E0F7D"/>
    <w:rsid w:val="000E589C"/>
    <w:rsid w:val="000F467C"/>
    <w:rsid w:val="000F6EEB"/>
    <w:rsid w:val="00100B02"/>
    <w:rsid w:val="00121A82"/>
    <w:rsid w:val="00122F54"/>
    <w:rsid w:val="001650D3"/>
    <w:rsid w:val="0018225D"/>
    <w:rsid w:val="001B310E"/>
    <w:rsid w:val="001D0AA6"/>
    <w:rsid w:val="001D1B5F"/>
    <w:rsid w:val="001E3F54"/>
    <w:rsid w:val="0021202D"/>
    <w:rsid w:val="00212B8A"/>
    <w:rsid w:val="002156B9"/>
    <w:rsid w:val="00233069"/>
    <w:rsid w:val="00234918"/>
    <w:rsid w:val="00237AEF"/>
    <w:rsid w:val="00286C15"/>
    <w:rsid w:val="002950B4"/>
    <w:rsid w:val="002956EE"/>
    <w:rsid w:val="002A7450"/>
    <w:rsid w:val="002B083B"/>
    <w:rsid w:val="002D2165"/>
    <w:rsid w:val="002D3C12"/>
    <w:rsid w:val="002E0F36"/>
    <w:rsid w:val="00307F0C"/>
    <w:rsid w:val="00314E2A"/>
    <w:rsid w:val="00327D6B"/>
    <w:rsid w:val="00344AEC"/>
    <w:rsid w:val="00354638"/>
    <w:rsid w:val="00360956"/>
    <w:rsid w:val="00374B0E"/>
    <w:rsid w:val="00393BD5"/>
    <w:rsid w:val="00395858"/>
    <w:rsid w:val="003C6CD8"/>
    <w:rsid w:val="003E0A76"/>
    <w:rsid w:val="003E6C52"/>
    <w:rsid w:val="004035C8"/>
    <w:rsid w:val="00417902"/>
    <w:rsid w:val="00445EF5"/>
    <w:rsid w:val="004471A8"/>
    <w:rsid w:val="00450F90"/>
    <w:rsid w:val="00480B1D"/>
    <w:rsid w:val="00480C7B"/>
    <w:rsid w:val="004A1C5B"/>
    <w:rsid w:val="004B0954"/>
    <w:rsid w:val="004F1CB3"/>
    <w:rsid w:val="00504E38"/>
    <w:rsid w:val="005157E2"/>
    <w:rsid w:val="00544460"/>
    <w:rsid w:val="00570FF7"/>
    <w:rsid w:val="005836C3"/>
    <w:rsid w:val="005D0C54"/>
    <w:rsid w:val="005D3F6F"/>
    <w:rsid w:val="005D75F7"/>
    <w:rsid w:val="005F6054"/>
    <w:rsid w:val="00616B08"/>
    <w:rsid w:val="006275EC"/>
    <w:rsid w:val="00642CE4"/>
    <w:rsid w:val="006470A1"/>
    <w:rsid w:val="00654BD9"/>
    <w:rsid w:val="00690908"/>
    <w:rsid w:val="00692660"/>
    <w:rsid w:val="006A141C"/>
    <w:rsid w:val="006E4963"/>
    <w:rsid w:val="006F30DA"/>
    <w:rsid w:val="00703C67"/>
    <w:rsid w:val="00730AA4"/>
    <w:rsid w:val="007637B1"/>
    <w:rsid w:val="00763B3C"/>
    <w:rsid w:val="00797E55"/>
    <w:rsid w:val="007A0074"/>
    <w:rsid w:val="007A1A97"/>
    <w:rsid w:val="007B47AF"/>
    <w:rsid w:val="007F71DE"/>
    <w:rsid w:val="008126C2"/>
    <w:rsid w:val="008219D9"/>
    <w:rsid w:val="00834A2A"/>
    <w:rsid w:val="008373C2"/>
    <w:rsid w:val="00837810"/>
    <w:rsid w:val="00843564"/>
    <w:rsid w:val="0086027E"/>
    <w:rsid w:val="0087235A"/>
    <w:rsid w:val="00875930"/>
    <w:rsid w:val="00875FA3"/>
    <w:rsid w:val="008924FC"/>
    <w:rsid w:val="00893734"/>
    <w:rsid w:val="008A7BE8"/>
    <w:rsid w:val="008C0333"/>
    <w:rsid w:val="008C08A9"/>
    <w:rsid w:val="008D070D"/>
    <w:rsid w:val="008D50F6"/>
    <w:rsid w:val="00912239"/>
    <w:rsid w:val="0092041F"/>
    <w:rsid w:val="00935841"/>
    <w:rsid w:val="00947C59"/>
    <w:rsid w:val="009767CE"/>
    <w:rsid w:val="009D180E"/>
    <w:rsid w:val="009E07BB"/>
    <w:rsid w:val="009E543E"/>
    <w:rsid w:val="00A24D54"/>
    <w:rsid w:val="00A26C65"/>
    <w:rsid w:val="00A478F9"/>
    <w:rsid w:val="00A53887"/>
    <w:rsid w:val="00A63AE2"/>
    <w:rsid w:val="00AB1E95"/>
    <w:rsid w:val="00AC77EA"/>
    <w:rsid w:val="00AF093E"/>
    <w:rsid w:val="00B03099"/>
    <w:rsid w:val="00B04C4B"/>
    <w:rsid w:val="00B142B5"/>
    <w:rsid w:val="00B358BB"/>
    <w:rsid w:val="00B40479"/>
    <w:rsid w:val="00B84062"/>
    <w:rsid w:val="00BB35E2"/>
    <w:rsid w:val="00BD5ADA"/>
    <w:rsid w:val="00BF08AB"/>
    <w:rsid w:val="00BF5D95"/>
    <w:rsid w:val="00C07489"/>
    <w:rsid w:val="00C16078"/>
    <w:rsid w:val="00C43CB3"/>
    <w:rsid w:val="00C44E14"/>
    <w:rsid w:val="00C519EF"/>
    <w:rsid w:val="00C6421A"/>
    <w:rsid w:val="00C73056"/>
    <w:rsid w:val="00C763DA"/>
    <w:rsid w:val="00C91C0F"/>
    <w:rsid w:val="00C932E3"/>
    <w:rsid w:val="00CD042E"/>
    <w:rsid w:val="00CD5F96"/>
    <w:rsid w:val="00CD65BC"/>
    <w:rsid w:val="00D16C6A"/>
    <w:rsid w:val="00D213DF"/>
    <w:rsid w:val="00D216BD"/>
    <w:rsid w:val="00D44BA3"/>
    <w:rsid w:val="00D51ED5"/>
    <w:rsid w:val="00D610DB"/>
    <w:rsid w:val="00DC1D0F"/>
    <w:rsid w:val="00DD4054"/>
    <w:rsid w:val="00DE0D16"/>
    <w:rsid w:val="00E35E6B"/>
    <w:rsid w:val="00E473FD"/>
    <w:rsid w:val="00E56397"/>
    <w:rsid w:val="00E70827"/>
    <w:rsid w:val="00E80789"/>
    <w:rsid w:val="00E81297"/>
    <w:rsid w:val="00EA7682"/>
    <w:rsid w:val="00EC224A"/>
    <w:rsid w:val="00EC4ED0"/>
    <w:rsid w:val="00EC5B9C"/>
    <w:rsid w:val="00EC6AE8"/>
    <w:rsid w:val="00EF38C1"/>
    <w:rsid w:val="00F0006D"/>
    <w:rsid w:val="00F11608"/>
    <w:rsid w:val="00F375AB"/>
    <w:rsid w:val="00F66F8B"/>
    <w:rsid w:val="00F82636"/>
    <w:rsid w:val="00F92C19"/>
    <w:rsid w:val="00FA1ECF"/>
    <w:rsid w:val="00FB6D33"/>
    <w:rsid w:val="00FC48AC"/>
    <w:rsid w:val="00FD03AC"/>
    <w:rsid w:val="00FD6172"/>
    <w:rsid w:val="00FE60FB"/>
    <w:rsid w:val="031E1C7B"/>
    <w:rsid w:val="08DE012D"/>
    <w:rsid w:val="096309EC"/>
    <w:rsid w:val="0FBF0F4D"/>
    <w:rsid w:val="139E92BA"/>
    <w:rsid w:val="15FFB5C5"/>
    <w:rsid w:val="18570A32"/>
    <w:rsid w:val="1C8D1ADB"/>
    <w:rsid w:val="1FDB3561"/>
    <w:rsid w:val="1FFE503C"/>
    <w:rsid w:val="237C4F9E"/>
    <w:rsid w:val="25A846C9"/>
    <w:rsid w:val="2E4B8FD2"/>
    <w:rsid w:val="2F89FAE9"/>
    <w:rsid w:val="30FA4B52"/>
    <w:rsid w:val="357222C1"/>
    <w:rsid w:val="35FDF128"/>
    <w:rsid w:val="37BF6709"/>
    <w:rsid w:val="39FBEE54"/>
    <w:rsid w:val="3A2213D1"/>
    <w:rsid w:val="3B6F4E2F"/>
    <w:rsid w:val="3BA72723"/>
    <w:rsid w:val="3BD6673B"/>
    <w:rsid w:val="3BEFCB9D"/>
    <w:rsid w:val="3BF9D9C5"/>
    <w:rsid w:val="3BFFCBD6"/>
    <w:rsid w:val="3CF51A39"/>
    <w:rsid w:val="3CFF7C4D"/>
    <w:rsid w:val="3DB57DA4"/>
    <w:rsid w:val="3DEA3E71"/>
    <w:rsid w:val="3DFA277A"/>
    <w:rsid w:val="3ED7035B"/>
    <w:rsid w:val="3EFAC375"/>
    <w:rsid w:val="3F9FBE9C"/>
    <w:rsid w:val="3FDE7D26"/>
    <w:rsid w:val="3FFF9B45"/>
    <w:rsid w:val="415A44F3"/>
    <w:rsid w:val="4697365A"/>
    <w:rsid w:val="47EFFD70"/>
    <w:rsid w:val="47F5CE7A"/>
    <w:rsid w:val="49946214"/>
    <w:rsid w:val="49E7217A"/>
    <w:rsid w:val="49FC6411"/>
    <w:rsid w:val="4BD43C1A"/>
    <w:rsid w:val="4D50098E"/>
    <w:rsid w:val="4F7F67A7"/>
    <w:rsid w:val="4F86399A"/>
    <w:rsid w:val="4FFBA1CF"/>
    <w:rsid w:val="504156FA"/>
    <w:rsid w:val="505F46FA"/>
    <w:rsid w:val="50C297C3"/>
    <w:rsid w:val="52DF5C8E"/>
    <w:rsid w:val="543D570A"/>
    <w:rsid w:val="566FFA43"/>
    <w:rsid w:val="57F24B16"/>
    <w:rsid w:val="57FCC6FD"/>
    <w:rsid w:val="58FB51C4"/>
    <w:rsid w:val="597B3077"/>
    <w:rsid w:val="5ABB27A0"/>
    <w:rsid w:val="5B3E1860"/>
    <w:rsid w:val="5CFBAFC4"/>
    <w:rsid w:val="5DD72111"/>
    <w:rsid w:val="5E7FE813"/>
    <w:rsid w:val="5EEE1CE7"/>
    <w:rsid w:val="5FB05BF8"/>
    <w:rsid w:val="5FDF46A4"/>
    <w:rsid w:val="5FEFCC85"/>
    <w:rsid w:val="5FFE123A"/>
    <w:rsid w:val="5FFFE1E7"/>
    <w:rsid w:val="63BDA769"/>
    <w:rsid w:val="65FE0717"/>
    <w:rsid w:val="667F3211"/>
    <w:rsid w:val="66F715A3"/>
    <w:rsid w:val="67BFBCF5"/>
    <w:rsid w:val="67EFDFDB"/>
    <w:rsid w:val="69E35ED2"/>
    <w:rsid w:val="6AFF092A"/>
    <w:rsid w:val="6B758E1C"/>
    <w:rsid w:val="6BDB7124"/>
    <w:rsid w:val="6BFFA3BA"/>
    <w:rsid w:val="6CBD64E1"/>
    <w:rsid w:val="6CFF7A91"/>
    <w:rsid w:val="6DBF3DDC"/>
    <w:rsid w:val="6DF72254"/>
    <w:rsid w:val="6E5679F3"/>
    <w:rsid w:val="6E77EE0F"/>
    <w:rsid w:val="6E7E20F8"/>
    <w:rsid w:val="6EFE4A75"/>
    <w:rsid w:val="6F37B04B"/>
    <w:rsid w:val="6F3F2FD2"/>
    <w:rsid w:val="6F5BD99C"/>
    <w:rsid w:val="6F7F7155"/>
    <w:rsid w:val="6F7FCF8E"/>
    <w:rsid w:val="6FB687C0"/>
    <w:rsid w:val="6FBEA3E9"/>
    <w:rsid w:val="6FBFECD0"/>
    <w:rsid w:val="6FDDAFAA"/>
    <w:rsid w:val="6FDE1B4E"/>
    <w:rsid w:val="71FC1A2D"/>
    <w:rsid w:val="72E7C118"/>
    <w:rsid w:val="737F497A"/>
    <w:rsid w:val="73DF704F"/>
    <w:rsid w:val="757DA215"/>
    <w:rsid w:val="761B84D2"/>
    <w:rsid w:val="76239850"/>
    <w:rsid w:val="767BAEB2"/>
    <w:rsid w:val="76833998"/>
    <w:rsid w:val="76DFBBB1"/>
    <w:rsid w:val="76F74520"/>
    <w:rsid w:val="76FEE689"/>
    <w:rsid w:val="77575A39"/>
    <w:rsid w:val="776B2A88"/>
    <w:rsid w:val="77CF592B"/>
    <w:rsid w:val="77EB865D"/>
    <w:rsid w:val="77FEC776"/>
    <w:rsid w:val="796735BC"/>
    <w:rsid w:val="79FBC4BB"/>
    <w:rsid w:val="7AEB4CA7"/>
    <w:rsid w:val="7AF7F24D"/>
    <w:rsid w:val="7AFE5825"/>
    <w:rsid w:val="7B5B299E"/>
    <w:rsid w:val="7B759879"/>
    <w:rsid w:val="7B9E528C"/>
    <w:rsid w:val="7BDDA0A1"/>
    <w:rsid w:val="7BDF3560"/>
    <w:rsid w:val="7BF741F6"/>
    <w:rsid w:val="7BF92623"/>
    <w:rsid w:val="7BF93CCD"/>
    <w:rsid w:val="7BFC3510"/>
    <w:rsid w:val="7BFEB4D0"/>
    <w:rsid w:val="7CD26E81"/>
    <w:rsid w:val="7D2E55CC"/>
    <w:rsid w:val="7D32533F"/>
    <w:rsid w:val="7D7DEF76"/>
    <w:rsid w:val="7D9B6B63"/>
    <w:rsid w:val="7DDF13E4"/>
    <w:rsid w:val="7DDF1896"/>
    <w:rsid w:val="7DF6A514"/>
    <w:rsid w:val="7DFDF9DB"/>
    <w:rsid w:val="7E1FD875"/>
    <w:rsid w:val="7EC49D94"/>
    <w:rsid w:val="7ECF67B5"/>
    <w:rsid w:val="7EDF436A"/>
    <w:rsid w:val="7EF7F38F"/>
    <w:rsid w:val="7EFB2508"/>
    <w:rsid w:val="7F3BDB46"/>
    <w:rsid w:val="7F6FD15F"/>
    <w:rsid w:val="7F7154A7"/>
    <w:rsid w:val="7F71FD69"/>
    <w:rsid w:val="7F79355F"/>
    <w:rsid w:val="7FB73242"/>
    <w:rsid w:val="7FBE0394"/>
    <w:rsid w:val="7FC44D2A"/>
    <w:rsid w:val="7FDBC17B"/>
    <w:rsid w:val="7FE37AA4"/>
    <w:rsid w:val="7FE5C15C"/>
    <w:rsid w:val="7FE706CE"/>
    <w:rsid w:val="7FE7EAD5"/>
    <w:rsid w:val="7FEAAE30"/>
    <w:rsid w:val="7FEB4441"/>
    <w:rsid w:val="7FEC432C"/>
    <w:rsid w:val="7FECC70B"/>
    <w:rsid w:val="7FEE8A61"/>
    <w:rsid w:val="7FF4162E"/>
    <w:rsid w:val="7FF4A8BA"/>
    <w:rsid w:val="7FF6443B"/>
    <w:rsid w:val="7FFAC9CC"/>
    <w:rsid w:val="7FFB2956"/>
    <w:rsid w:val="7FFF184E"/>
    <w:rsid w:val="7FFFDC9B"/>
    <w:rsid w:val="87FF8F78"/>
    <w:rsid w:val="8BFF2A47"/>
    <w:rsid w:val="93CF4426"/>
    <w:rsid w:val="95FBEC2F"/>
    <w:rsid w:val="99FEC52D"/>
    <w:rsid w:val="9B4EF0DA"/>
    <w:rsid w:val="9BEF94AD"/>
    <w:rsid w:val="9BFB0D1E"/>
    <w:rsid w:val="9D4B5CFF"/>
    <w:rsid w:val="9DE7808F"/>
    <w:rsid w:val="9EFBEBBE"/>
    <w:rsid w:val="9FBEA519"/>
    <w:rsid w:val="9FEEC06D"/>
    <w:rsid w:val="A37902F3"/>
    <w:rsid w:val="A7DF1592"/>
    <w:rsid w:val="A7FE6040"/>
    <w:rsid w:val="ADE294C3"/>
    <w:rsid w:val="B37B06ED"/>
    <w:rsid w:val="B5DFD85E"/>
    <w:rsid w:val="B63FCAE9"/>
    <w:rsid w:val="B7DD2691"/>
    <w:rsid w:val="B7FF05DC"/>
    <w:rsid w:val="BB1D8E35"/>
    <w:rsid w:val="BBF9624B"/>
    <w:rsid w:val="BBFB7D2A"/>
    <w:rsid w:val="BDD4C878"/>
    <w:rsid w:val="BDFF7C5E"/>
    <w:rsid w:val="BDFF7FD3"/>
    <w:rsid w:val="BE6AE311"/>
    <w:rsid w:val="BE9511A8"/>
    <w:rsid w:val="BEAB56F7"/>
    <w:rsid w:val="BEB589B7"/>
    <w:rsid w:val="BF3B0E1A"/>
    <w:rsid w:val="BFF4D43B"/>
    <w:rsid w:val="BFFF43B9"/>
    <w:rsid w:val="C1BEC932"/>
    <w:rsid w:val="C64FBF9D"/>
    <w:rsid w:val="C7F677E3"/>
    <w:rsid w:val="CBBDFE54"/>
    <w:rsid w:val="CBFB1FF4"/>
    <w:rsid w:val="CDF5B5FE"/>
    <w:rsid w:val="D5FB5174"/>
    <w:rsid w:val="D64B9385"/>
    <w:rsid w:val="D76CA8D6"/>
    <w:rsid w:val="D77B8588"/>
    <w:rsid w:val="D97DDA7E"/>
    <w:rsid w:val="D9FE3364"/>
    <w:rsid w:val="DADB7655"/>
    <w:rsid w:val="DB8F441E"/>
    <w:rsid w:val="DBB757EC"/>
    <w:rsid w:val="DBF714A5"/>
    <w:rsid w:val="DC9D9151"/>
    <w:rsid w:val="DDCFB7CB"/>
    <w:rsid w:val="DDEFF45C"/>
    <w:rsid w:val="DE276049"/>
    <w:rsid w:val="DE3BFDC6"/>
    <w:rsid w:val="DEEF2D35"/>
    <w:rsid w:val="DEFCA316"/>
    <w:rsid w:val="DF2438E6"/>
    <w:rsid w:val="DF5FF35A"/>
    <w:rsid w:val="DFAF79BC"/>
    <w:rsid w:val="DFCF38CE"/>
    <w:rsid w:val="DFD37637"/>
    <w:rsid w:val="DFE21867"/>
    <w:rsid w:val="DFEE3B8C"/>
    <w:rsid w:val="E37F24D5"/>
    <w:rsid w:val="EADB4D6B"/>
    <w:rsid w:val="EB1FC0DE"/>
    <w:rsid w:val="EB5FF891"/>
    <w:rsid w:val="EBBC3B77"/>
    <w:rsid w:val="EBBFE294"/>
    <w:rsid w:val="EBEF07F4"/>
    <w:rsid w:val="EDDDD170"/>
    <w:rsid w:val="EDFFD380"/>
    <w:rsid w:val="EDFFD779"/>
    <w:rsid w:val="EE710548"/>
    <w:rsid w:val="EF3FC41A"/>
    <w:rsid w:val="EF73C6DB"/>
    <w:rsid w:val="EFBFDD0A"/>
    <w:rsid w:val="EFDF6DDE"/>
    <w:rsid w:val="EFEF945B"/>
    <w:rsid w:val="EFF9557E"/>
    <w:rsid w:val="EFFDDE6C"/>
    <w:rsid w:val="EFFF0A70"/>
    <w:rsid w:val="EFFFD8C3"/>
    <w:rsid w:val="EFFFDA8F"/>
    <w:rsid w:val="F25FECEA"/>
    <w:rsid w:val="F2CE331E"/>
    <w:rsid w:val="F2FE4C81"/>
    <w:rsid w:val="F3B4CDB0"/>
    <w:rsid w:val="F3FBA01D"/>
    <w:rsid w:val="F47E5BF8"/>
    <w:rsid w:val="F5F3FFB1"/>
    <w:rsid w:val="F6D57670"/>
    <w:rsid w:val="F6F944B5"/>
    <w:rsid w:val="F7C75A80"/>
    <w:rsid w:val="F83D627C"/>
    <w:rsid w:val="F8FFF28C"/>
    <w:rsid w:val="F976B7D5"/>
    <w:rsid w:val="F9DDB66F"/>
    <w:rsid w:val="F9DFE4BE"/>
    <w:rsid w:val="F9FF71DA"/>
    <w:rsid w:val="FAEFA3B6"/>
    <w:rsid w:val="FAEFAE0A"/>
    <w:rsid w:val="FB7DFE67"/>
    <w:rsid w:val="FBF33CBF"/>
    <w:rsid w:val="FBFE8FDC"/>
    <w:rsid w:val="FBFFA6A3"/>
    <w:rsid w:val="FCAD5881"/>
    <w:rsid w:val="FCB60FFC"/>
    <w:rsid w:val="FCD5CE9B"/>
    <w:rsid w:val="FDAB7B62"/>
    <w:rsid w:val="FDCF5DA1"/>
    <w:rsid w:val="FDEA6505"/>
    <w:rsid w:val="FDFB3A32"/>
    <w:rsid w:val="FDFB7015"/>
    <w:rsid w:val="FE3FEFCB"/>
    <w:rsid w:val="FE6DF478"/>
    <w:rsid w:val="FE7EC86D"/>
    <w:rsid w:val="FEE7A117"/>
    <w:rsid w:val="FEEC318D"/>
    <w:rsid w:val="FEF78689"/>
    <w:rsid w:val="FEFA8E52"/>
    <w:rsid w:val="FF071636"/>
    <w:rsid w:val="FF149E4F"/>
    <w:rsid w:val="FF3A8E4E"/>
    <w:rsid w:val="FF3F787D"/>
    <w:rsid w:val="FF6E385D"/>
    <w:rsid w:val="FF76338C"/>
    <w:rsid w:val="FF7D8861"/>
    <w:rsid w:val="FF7F7B8A"/>
    <w:rsid w:val="FF8DD39C"/>
    <w:rsid w:val="FFAD2767"/>
    <w:rsid w:val="FFBD6CCF"/>
    <w:rsid w:val="FFBF0485"/>
    <w:rsid w:val="FFC7CC56"/>
    <w:rsid w:val="FFD54081"/>
    <w:rsid w:val="FFDFC11C"/>
    <w:rsid w:val="FFDFE063"/>
    <w:rsid w:val="FFEA67EA"/>
    <w:rsid w:val="FFEF29CF"/>
    <w:rsid w:val="FFEF4800"/>
    <w:rsid w:val="FFEF4ED4"/>
    <w:rsid w:val="FFF9DD94"/>
    <w:rsid w:val="FFFDE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360" w:lineRule="auto"/>
    </w:pPr>
    <w:rPr>
      <w:rFonts w:ascii="Times New Roman" w:hAnsi="Times New Roman" w:eastAsia="宋体" w:cs="Times New Roman"/>
      <w:kern w:val="2"/>
      <w:sz w:val="24"/>
      <w:szCs w:val="21"/>
      <w:lang w:val="en-US" w:eastAsia="zh-CN" w:bidi="ar-SA"/>
    </w:rPr>
  </w:style>
  <w:style w:type="paragraph" w:styleId="3">
    <w:name w:val="heading 1"/>
    <w:basedOn w:val="1"/>
    <w:next w:val="1"/>
    <w:link w:val="25"/>
    <w:qFormat/>
    <w:uiPriority w:val="9"/>
    <w:pPr>
      <w:keepNext/>
      <w:keepLines/>
      <w:widowControl w:val="0"/>
      <w:numPr>
        <w:ilvl w:val="0"/>
        <w:numId w:val="1"/>
      </w:numPr>
      <w:spacing w:before="340" w:after="330"/>
      <w:jc w:val="center"/>
      <w:outlineLvl w:val="0"/>
    </w:pPr>
    <w:rPr>
      <w:rFonts w:ascii="楷体_GB2312" w:eastAsia="楷体_GB2312"/>
      <w:b/>
      <w:kern w:val="44"/>
      <w:sz w:val="30"/>
      <w:szCs w:val="44"/>
    </w:rPr>
  </w:style>
  <w:style w:type="paragraph" w:styleId="4">
    <w:name w:val="heading 2"/>
    <w:basedOn w:val="1"/>
    <w:next w:val="1"/>
    <w:link w:val="26"/>
    <w:qFormat/>
    <w:uiPriority w:val="9"/>
    <w:pPr>
      <w:keepNext/>
      <w:keepLines/>
      <w:widowControl w:val="0"/>
      <w:numPr>
        <w:ilvl w:val="1"/>
        <w:numId w:val="1"/>
      </w:numPr>
      <w:spacing w:before="260" w:after="260"/>
      <w:jc w:val="both"/>
      <w:outlineLvl w:val="1"/>
    </w:pPr>
    <w:rPr>
      <w:rFonts w:ascii="Arial" w:hAnsi="Arial"/>
      <w:sz w:val="32"/>
      <w:szCs w:val="32"/>
    </w:rPr>
  </w:style>
  <w:style w:type="paragraph" w:styleId="5">
    <w:name w:val="heading 3"/>
    <w:basedOn w:val="1"/>
    <w:next w:val="1"/>
    <w:link w:val="34"/>
    <w:qFormat/>
    <w:uiPriority w:val="9"/>
    <w:pPr>
      <w:keepNext/>
      <w:keepLines/>
      <w:numPr>
        <w:ilvl w:val="2"/>
        <w:numId w:val="1"/>
      </w:numPr>
      <w:spacing w:before="260" w:after="260" w:line="416" w:lineRule="auto"/>
      <w:outlineLvl w:val="2"/>
    </w:pPr>
    <w:rPr>
      <w:bCs/>
      <w:kern w:val="0"/>
      <w:sz w:val="32"/>
      <w:szCs w:val="32"/>
    </w:rPr>
  </w:style>
  <w:style w:type="paragraph" w:styleId="6">
    <w:name w:val="heading 4"/>
    <w:basedOn w:val="1"/>
    <w:next w:val="1"/>
    <w:link w:val="28"/>
    <w:qFormat/>
    <w:uiPriority w:val="9"/>
    <w:pPr>
      <w:keepNext/>
      <w:keepLines/>
      <w:widowControl w:val="0"/>
      <w:numPr>
        <w:ilvl w:val="3"/>
        <w:numId w:val="1"/>
      </w:numPr>
      <w:tabs>
        <w:tab w:val="left" w:pos="851"/>
      </w:tabs>
      <w:spacing w:before="50" w:beforeLines="50" w:after="50" w:afterLines="50"/>
      <w:jc w:val="both"/>
      <w:outlineLvl w:val="3"/>
    </w:pPr>
    <w:rPr>
      <w:rFonts w:ascii="Arial" w:hAnsi="Arial"/>
      <w:bCs/>
      <w:sz w:val="32"/>
      <w:szCs w:val="28"/>
    </w:rPr>
  </w:style>
  <w:style w:type="paragraph" w:styleId="7">
    <w:name w:val="heading 5"/>
    <w:basedOn w:val="1"/>
    <w:next w:val="1"/>
    <w:link w:val="29"/>
    <w:qFormat/>
    <w:uiPriority w:val="0"/>
    <w:pPr>
      <w:keepNext/>
      <w:keepLines/>
      <w:widowControl w:val="0"/>
      <w:numPr>
        <w:ilvl w:val="4"/>
        <w:numId w:val="1"/>
      </w:numPr>
      <w:tabs>
        <w:tab w:val="left" w:pos="812"/>
      </w:tabs>
      <w:spacing w:before="280" w:after="290"/>
      <w:jc w:val="both"/>
      <w:outlineLvl w:val="4"/>
    </w:pPr>
    <w:rPr>
      <w:rFonts w:ascii="Arial" w:hAnsi="Arial"/>
      <w:b/>
      <w:bCs/>
      <w:sz w:val="21"/>
      <w:szCs w:val="28"/>
    </w:rPr>
  </w:style>
  <w:style w:type="paragraph" w:styleId="8">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Cs w:val="24"/>
    </w:rPr>
  </w:style>
  <w:style w:type="paragraph" w:styleId="9">
    <w:name w:val="heading 7"/>
    <w:basedOn w:val="1"/>
    <w:next w:val="1"/>
    <w:link w:val="31"/>
    <w:qFormat/>
    <w:uiPriority w:val="0"/>
    <w:pPr>
      <w:keepNext/>
      <w:keepLines/>
      <w:numPr>
        <w:ilvl w:val="6"/>
        <w:numId w:val="1"/>
      </w:numPr>
      <w:spacing w:before="240" w:after="64" w:line="320" w:lineRule="auto"/>
      <w:outlineLvl w:val="6"/>
    </w:pPr>
    <w:rPr>
      <w:b/>
      <w:bCs/>
      <w:szCs w:val="24"/>
    </w:rPr>
  </w:style>
  <w:style w:type="paragraph" w:styleId="10">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Cs w:val="24"/>
    </w:rPr>
  </w:style>
  <w:style w:type="paragraph" w:styleId="11">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12">
    <w:name w:val="annotation text"/>
    <w:basedOn w:val="1"/>
    <w:link w:val="40"/>
    <w:semiHidden/>
    <w:unhideWhenUsed/>
    <w:qFormat/>
    <w:uiPriority w:val="99"/>
  </w:style>
  <w:style w:type="paragraph" w:styleId="13">
    <w:name w:val="Body Text"/>
    <w:basedOn w:val="1"/>
    <w:link w:val="47"/>
    <w:semiHidden/>
    <w:qFormat/>
    <w:uiPriority w:val="0"/>
    <w:pPr>
      <w:kinsoku w:val="0"/>
      <w:autoSpaceDE w:val="0"/>
      <w:autoSpaceDN w:val="0"/>
      <w:adjustRightInd w:val="0"/>
      <w:snapToGrid w:val="0"/>
      <w:spacing w:line="240" w:lineRule="auto"/>
      <w:textAlignment w:val="baseline"/>
    </w:pPr>
    <w:rPr>
      <w:rFonts w:ascii="仿宋" w:hAnsi="仿宋" w:eastAsia="仿宋" w:cs="仿宋"/>
      <w:snapToGrid w:val="0"/>
      <w:color w:val="000000"/>
      <w:kern w:val="0"/>
      <w:sz w:val="31"/>
      <w:szCs w:val="31"/>
      <w:lang w:eastAsia="en-US"/>
    </w:rPr>
  </w:style>
  <w:style w:type="paragraph" w:styleId="14">
    <w:name w:val="Plain Text"/>
    <w:basedOn w:val="1"/>
    <w:link w:val="43"/>
    <w:qFormat/>
    <w:uiPriority w:val="0"/>
    <w:pPr>
      <w:widowControl w:val="0"/>
      <w:spacing w:line="240" w:lineRule="auto"/>
      <w:jc w:val="both"/>
    </w:pPr>
    <w:rPr>
      <w:rFonts w:ascii="宋体" w:hAnsi="Courier New"/>
      <w:sz w:val="21"/>
      <w:szCs w:val="20"/>
    </w:rPr>
  </w:style>
  <w:style w:type="paragraph" w:styleId="15">
    <w:name w:val="Balloon Text"/>
    <w:basedOn w:val="1"/>
    <w:link w:val="39"/>
    <w:semiHidden/>
    <w:unhideWhenUsed/>
    <w:qFormat/>
    <w:uiPriority w:val="99"/>
    <w:pPr>
      <w:spacing w:line="240" w:lineRule="auto"/>
    </w:pPr>
    <w:rPr>
      <w:sz w:val="18"/>
      <w:szCs w:val="18"/>
    </w:rPr>
  </w:style>
  <w:style w:type="paragraph" w:styleId="16">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annotation subject"/>
    <w:basedOn w:val="12"/>
    <w:next w:val="12"/>
    <w:link w:val="41"/>
    <w:semiHidden/>
    <w:unhideWhenUsed/>
    <w:qFormat/>
    <w:uiPriority w:val="99"/>
    <w:rPr>
      <w:b/>
      <w:bCs/>
    </w:r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qFormat/>
    <w:uiPriority w:val="0"/>
    <w:rPr>
      <w:sz w:val="21"/>
      <w:szCs w:val="21"/>
    </w:rPr>
  </w:style>
  <w:style w:type="paragraph" w:styleId="24">
    <w:name w:val="List Paragraph"/>
    <w:basedOn w:val="1"/>
    <w:qFormat/>
    <w:uiPriority w:val="34"/>
    <w:pPr>
      <w:ind w:firstLine="420" w:firstLineChars="200"/>
    </w:pPr>
  </w:style>
  <w:style w:type="character" w:customStyle="1" w:styleId="25">
    <w:name w:val="标题 1 字符"/>
    <w:basedOn w:val="21"/>
    <w:link w:val="3"/>
    <w:qFormat/>
    <w:uiPriority w:val="0"/>
    <w:rPr>
      <w:rFonts w:ascii="楷体_GB2312" w:hAnsi="Times New Roman" w:eastAsia="楷体_GB2312" w:cs="Times New Roman"/>
      <w:b/>
      <w:kern w:val="44"/>
      <w:sz w:val="30"/>
      <w:szCs w:val="44"/>
    </w:rPr>
  </w:style>
  <w:style w:type="character" w:customStyle="1" w:styleId="26">
    <w:name w:val="标题 2 字符"/>
    <w:basedOn w:val="21"/>
    <w:link w:val="4"/>
    <w:qFormat/>
    <w:uiPriority w:val="0"/>
    <w:rPr>
      <w:rFonts w:ascii="Arial" w:hAnsi="Arial" w:eastAsia="宋体" w:cs="Times New Roman"/>
      <w:kern w:val="2"/>
      <w:sz w:val="32"/>
      <w:szCs w:val="32"/>
    </w:rPr>
  </w:style>
  <w:style w:type="character" w:customStyle="1" w:styleId="27">
    <w:name w:val="标题 3 字符"/>
    <w:basedOn w:val="21"/>
    <w:semiHidden/>
    <w:qFormat/>
    <w:uiPriority w:val="9"/>
    <w:rPr>
      <w:rFonts w:ascii="Times New Roman" w:hAnsi="Times New Roman" w:eastAsia="宋体" w:cs="Times New Roman"/>
      <w:b/>
      <w:bCs/>
      <w:sz w:val="32"/>
      <w:szCs w:val="32"/>
    </w:rPr>
  </w:style>
  <w:style w:type="character" w:customStyle="1" w:styleId="28">
    <w:name w:val="标题 4 字符"/>
    <w:basedOn w:val="21"/>
    <w:link w:val="6"/>
    <w:qFormat/>
    <w:uiPriority w:val="9"/>
    <w:rPr>
      <w:rFonts w:ascii="Arial" w:hAnsi="Arial" w:eastAsia="宋体" w:cs="Times New Roman"/>
      <w:bCs/>
      <w:kern w:val="2"/>
      <w:sz w:val="32"/>
      <w:szCs w:val="28"/>
    </w:rPr>
  </w:style>
  <w:style w:type="character" w:customStyle="1" w:styleId="29">
    <w:name w:val="标题 5 字符"/>
    <w:basedOn w:val="21"/>
    <w:link w:val="7"/>
    <w:qFormat/>
    <w:uiPriority w:val="0"/>
    <w:rPr>
      <w:rFonts w:ascii="Arial" w:hAnsi="Arial" w:eastAsia="宋体" w:cs="Times New Roman"/>
      <w:b/>
      <w:bCs/>
      <w:kern w:val="2"/>
      <w:sz w:val="21"/>
      <w:szCs w:val="28"/>
    </w:rPr>
  </w:style>
  <w:style w:type="character" w:customStyle="1" w:styleId="30">
    <w:name w:val="标题 6 字符"/>
    <w:basedOn w:val="21"/>
    <w:link w:val="8"/>
    <w:qFormat/>
    <w:uiPriority w:val="0"/>
    <w:rPr>
      <w:rFonts w:ascii="等线 Light" w:hAnsi="等线 Light" w:eastAsia="等线 Light" w:cs="Times New Roman"/>
      <w:b/>
      <w:bCs/>
      <w:kern w:val="2"/>
      <w:sz w:val="24"/>
      <w:szCs w:val="24"/>
    </w:rPr>
  </w:style>
  <w:style w:type="character" w:customStyle="1" w:styleId="31">
    <w:name w:val="标题 7 字符"/>
    <w:basedOn w:val="21"/>
    <w:link w:val="9"/>
    <w:qFormat/>
    <w:uiPriority w:val="0"/>
    <w:rPr>
      <w:rFonts w:ascii="Times New Roman" w:hAnsi="Times New Roman" w:eastAsia="宋体" w:cs="Times New Roman"/>
      <w:b/>
      <w:bCs/>
      <w:kern w:val="2"/>
      <w:sz w:val="24"/>
      <w:szCs w:val="24"/>
    </w:rPr>
  </w:style>
  <w:style w:type="character" w:customStyle="1" w:styleId="32">
    <w:name w:val="标题 8 字符"/>
    <w:basedOn w:val="21"/>
    <w:link w:val="10"/>
    <w:qFormat/>
    <w:uiPriority w:val="0"/>
    <w:rPr>
      <w:rFonts w:ascii="等线 Light" w:hAnsi="等线 Light" w:eastAsia="等线 Light" w:cs="Times New Roman"/>
      <w:kern w:val="2"/>
      <w:sz w:val="24"/>
      <w:szCs w:val="24"/>
    </w:rPr>
  </w:style>
  <w:style w:type="character" w:customStyle="1" w:styleId="33">
    <w:name w:val="标题 9 字符"/>
    <w:basedOn w:val="21"/>
    <w:link w:val="11"/>
    <w:qFormat/>
    <w:uiPriority w:val="0"/>
    <w:rPr>
      <w:rFonts w:ascii="等线 Light" w:hAnsi="等线 Light" w:eastAsia="等线 Light" w:cs="Times New Roman"/>
      <w:kern w:val="2"/>
      <w:sz w:val="21"/>
      <w:szCs w:val="21"/>
    </w:rPr>
  </w:style>
  <w:style w:type="character" w:customStyle="1" w:styleId="34">
    <w:name w:val="标题 3 字符1"/>
    <w:link w:val="5"/>
    <w:qFormat/>
    <w:uiPriority w:val="9"/>
    <w:rPr>
      <w:rFonts w:ascii="Times New Roman" w:hAnsi="Times New Roman" w:eastAsia="宋体" w:cs="Times New Roman"/>
      <w:bCs/>
      <w:sz w:val="32"/>
      <w:szCs w:val="32"/>
    </w:rPr>
  </w:style>
  <w:style w:type="paragraph" w:customStyle="1" w:styleId="35">
    <w:name w:val="正文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36">
    <w:name w:val="页眉 字符"/>
    <w:basedOn w:val="21"/>
    <w:link w:val="17"/>
    <w:qFormat/>
    <w:uiPriority w:val="99"/>
    <w:rPr>
      <w:rFonts w:ascii="Times New Roman" w:hAnsi="Times New Roman" w:eastAsia="宋体" w:cs="Times New Roman"/>
      <w:sz w:val="18"/>
      <w:szCs w:val="18"/>
    </w:rPr>
  </w:style>
  <w:style w:type="character" w:customStyle="1" w:styleId="37">
    <w:name w:val="页脚 字符"/>
    <w:basedOn w:val="21"/>
    <w:link w:val="16"/>
    <w:qFormat/>
    <w:uiPriority w:val="99"/>
    <w:rPr>
      <w:rFonts w:ascii="Times New Roman" w:hAnsi="Times New Roman" w:eastAsia="宋体" w:cs="Times New Roman"/>
      <w:sz w:val="18"/>
      <w:szCs w:val="18"/>
    </w:rPr>
  </w:style>
  <w:style w:type="paragraph" w:customStyle="1" w:styleId="38">
    <w:name w:val="修订1"/>
    <w:hidden/>
    <w:semiHidden/>
    <w:qFormat/>
    <w:uiPriority w:val="99"/>
    <w:pPr>
      <w:spacing w:after="160" w:line="278" w:lineRule="auto"/>
    </w:pPr>
    <w:rPr>
      <w:rFonts w:ascii="Times New Roman" w:hAnsi="Times New Roman" w:eastAsia="宋体" w:cs="Times New Roman"/>
      <w:kern w:val="2"/>
      <w:sz w:val="24"/>
      <w:szCs w:val="21"/>
      <w:lang w:val="en-US" w:eastAsia="zh-CN" w:bidi="ar-SA"/>
    </w:rPr>
  </w:style>
  <w:style w:type="character" w:customStyle="1" w:styleId="39">
    <w:name w:val="批注框文本 字符"/>
    <w:basedOn w:val="21"/>
    <w:link w:val="15"/>
    <w:semiHidden/>
    <w:qFormat/>
    <w:uiPriority w:val="99"/>
    <w:rPr>
      <w:rFonts w:ascii="Times New Roman" w:hAnsi="Times New Roman" w:eastAsia="宋体" w:cs="Times New Roman"/>
      <w:sz w:val="18"/>
      <w:szCs w:val="18"/>
    </w:rPr>
  </w:style>
  <w:style w:type="character" w:customStyle="1" w:styleId="40">
    <w:name w:val="批注文字 字符"/>
    <w:basedOn w:val="21"/>
    <w:link w:val="12"/>
    <w:semiHidden/>
    <w:qFormat/>
    <w:uiPriority w:val="99"/>
    <w:rPr>
      <w:rFonts w:ascii="Times New Roman" w:hAnsi="Times New Roman" w:eastAsia="宋体" w:cs="Times New Roman"/>
      <w:sz w:val="24"/>
      <w:szCs w:val="21"/>
    </w:rPr>
  </w:style>
  <w:style w:type="character" w:customStyle="1" w:styleId="41">
    <w:name w:val="批注主题 字符"/>
    <w:basedOn w:val="40"/>
    <w:link w:val="18"/>
    <w:semiHidden/>
    <w:qFormat/>
    <w:uiPriority w:val="99"/>
    <w:rPr>
      <w:rFonts w:ascii="Times New Roman" w:hAnsi="Times New Roman" w:eastAsia="宋体" w:cs="Times New Roman"/>
      <w:b/>
      <w:bCs/>
      <w:sz w:val="24"/>
      <w:szCs w:val="21"/>
    </w:rPr>
  </w:style>
  <w:style w:type="paragraph" w:customStyle="1" w:styleId="42">
    <w:name w:val="列表段落1"/>
    <w:basedOn w:val="1"/>
    <w:qFormat/>
    <w:uiPriority w:val="34"/>
    <w:pPr>
      <w:overflowPunct w:val="0"/>
      <w:autoSpaceDE w:val="0"/>
      <w:autoSpaceDN w:val="0"/>
      <w:adjustRightInd w:val="0"/>
      <w:ind w:firstLine="420" w:firstLineChars="200"/>
    </w:pPr>
    <w:rPr>
      <w:kern w:val="0"/>
      <w:sz w:val="30"/>
      <w:szCs w:val="20"/>
    </w:rPr>
  </w:style>
  <w:style w:type="character" w:customStyle="1" w:styleId="43">
    <w:name w:val="纯文本 字符"/>
    <w:basedOn w:val="21"/>
    <w:link w:val="14"/>
    <w:qFormat/>
    <w:uiPriority w:val="0"/>
    <w:rPr>
      <w:rFonts w:ascii="宋体" w:hAnsi="Courier New" w:eastAsia="宋体" w:cs="Times New Roman"/>
      <w:kern w:val="2"/>
      <w:sz w:val="21"/>
    </w:rPr>
  </w:style>
  <w:style w:type="character" w:customStyle="1" w:styleId="44">
    <w:name w:val="font51"/>
    <w:basedOn w:val="21"/>
    <w:qFormat/>
    <w:uiPriority w:val="0"/>
    <w:rPr>
      <w:rFonts w:hint="eastAsia" w:ascii="宋体" w:hAnsi="宋体" w:eastAsia="宋体" w:cs="宋体"/>
      <w:color w:val="000000"/>
      <w:sz w:val="20"/>
      <w:szCs w:val="20"/>
      <w:u w:val="none"/>
    </w:rPr>
  </w:style>
  <w:style w:type="character" w:customStyle="1" w:styleId="45">
    <w:name w:val="font61"/>
    <w:basedOn w:val="21"/>
    <w:qFormat/>
    <w:uiPriority w:val="0"/>
    <w:rPr>
      <w:rFonts w:hint="default" w:ascii="仿宋" w:hAnsi="仿宋" w:eastAsia="仿宋" w:cs="仿宋"/>
      <w:color w:val="000000"/>
      <w:sz w:val="20"/>
      <w:szCs w:val="20"/>
      <w:u w:val="none"/>
    </w:rPr>
  </w:style>
  <w:style w:type="character" w:customStyle="1" w:styleId="46">
    <w:name w:val="纯文本 Char1"/>
    <w:qFormat/>
    <w:uiPriority w:val="0"/>
    <w:rPr>
      <w:rFonts w:ascii="宋体" w:hAnsi="Courier New"/>
      <w:kern w:val="2"/>
      <w:sz w:val="21"/>
      <w:szCs w:val="24"/>
    </w:rPr>
  </w:style>
  <w:style w:type="character" w:customStyle="1" w:styleId="47">
    <w:name w:val="正文文本 字符"/>
    <w:basedOn w:val="21"/>
    <w:link w:val="13"/>
    <w:semiHidden/>
    <w:qFormat/>
    <w:uiPriority w:val="0"/>
    <w:rPr>
      <w:rFonts w:ascii="仿宋" w:hAnsi="仿宋" w:eastAsia="仿宋" w:cs="仿宋"/>
      <w:snapToGrid w:val="0"/>
      <w:color w:val="000000"/>
      <w:sz w:val="31"/>
      <w:szCs w:val="31"/>
      <w:lang w:eastAsia="en-US"/>
    </w:rPr>
  </w:style>
  <w:style w:type="table" w:customStyle="1" w:styleId="48">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Windsys.win</Company>
  <Pages>1</Pages>
  <Words>1731</Words>
  <Characters>1819</Characters>
  <Lines>101</Lines>
  <Paragraphs>93</Paragraphs>
  <TotalTime>0</TotalTime>
  <ScaleCrop>false</ScaleCrop>
  <LinksUpToDate>false</LinksUpToDate>
  <CharactersWithSpaces>3457</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2022-12-12T10:16:00Z</dcterms:created>
  <dc:creator>felx lee</dc:creator>
  <cp:lastModifiedBy>greatwall</cp:lastModifiedBy>
  <dcterms:modified xsi:type="dcterms:W3CDTF">2025-05-27T15:42:10Z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KSOTemplateDocerSaveRecord">
    <vt:lpwstr>eyJoZGlkIjoiN2YzNjBkOTgyNWQ1YTMxYzM3MzMwNWFiODNmOWIzYWMiLCJ1c2VySWQiOiI0MzU3MDAxNzIifQ==</vt:lpwstr>
  </property>
  <property fmtid="{D5CDD505-2E9C-101B-9397-08002B2CF9AE}" pid="4" name="ICV">
    <vt:lpwstr>B5ED2BFF10E07A9DD26C3568D7A2AF0C</vt:lpwstr>
  </property>
</Properties>
</file>