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66D83">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47EA155E">
      <w:pPr>
        <w:keepNext w:val="0"/>
        <w:keepLines w:val="0"/>
        <w:pageBreakBefore w:val="0"/>
        <w:widowControl w:val="0"/>
        <w:kinsoku/>
        <w:wordWrap/>
        <w:overflowPunct/>
        <w:topLinePunct w:val="0"/>
        <w:autoSpaceDE/>
        <w:autoSpaceDN/>
        <w:bidi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14:paraId="35675C82">
      <w:pPr>
        <w:keepNext w:val="0"/>
        <w:keepLines w:val="0"/>
        <w:pageBreakBefore w:val="0"/>
        <w:widowControl w:val="0"/>
        <w:kinsoku/>
        <w:wordWrap/>
        <w:overflowPunct/>
        <w:topLinePunct w:val="0"/>
        <w:autoSpaceDE/>
        <w:autoSpaceDN/>
        <w:bidi w:val="0"/>
        <w:spacing w:line="540" w:lineRule="exact"/>
        <w:textAlignment w:val="auto"/>
        <w:rPr>
          <w:rFonts w:ascii="仿宋_GB2312" w:hAnsi="华文仿宋" w:eastAsia="仿宋_GB2312"/>
        </w:rPr>
      </w:pPr>
    </w:p>
    <w:p w14:paraId="0440A745">
      <w:pPr>
        <w:keepNext w:val="0"/>
        <w:keepLines w:val="0"/>
        <w:pageBreakBefore w:val="0"/>
        <w:widowControl w:val="0"/>
        <w:kinsoku/>
        <w:wordWrap/>
        <w:overflowPunct/>
        <w:topLinePunct w:val="0"/>
        <w:autoSpaceDE/>
        <w:autoSpaceDN/>
        <w:bidi w:val="0"/>
        <w:spacing w:line="540" w:lineRule="exact"/>
        <w:ind w:firstLine="320" w:firstLineChars="100"/>
        <w:jc w:val="right"/>
        <w:textAlignment w:val="auto"/>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5</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14</w:t>
      </w:r>
      <w:r>
        <w:rPr>
          <w:rFonts w:hint="eastAsia" w:ascii="仿宋_GB2312" w:hAnsi="华文仿宋" w:eastAsia="仿宋_GB2312"/>
          <w:sz w:val="32"/>
          <w:szCs w:val="32"/>
        </w:rPr>
        <w:t>号</w:t>
      </w:r>
    </w:p>
    <w:p w14:paraId="2FE36513">
      <w:pPr>
        <w:keepNext w:val="0"/>
        <w:keepLines w:val="0"/>
        <w:pageBreakBefore w:val="0"/>
        <w:widowControl w:val="0"/>
        <w:kinsoku/>
        <w:wordWrap/>
        <w:overflowPunct/>
        <w:topLinePunct w:val="0"/>
        <w:autoSpaceDE/>
        <w:autoSpaceDN/>
        <w:bidi w:val="0"/>
        <w:adjustRightInd w:val="0"/>
        <w:snapToGrid w:val="0"/>
        <w:spacing w:line="540" w:lineRule="exact"/>
        <w:textAlignment w:val="auto"/>
        <w:rPr>
          <w:b/>
          <w:sz w:val="44"/>
          <w:szCs w:val="44"/>
        </w:rPr>
      </w:pPr>
    </w:p>
    <w:p w14:paraId="1815FAA3">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当事人：江门市星越灯饰有限公司</w:t>
      </w:r>
    </w:p>
    <w:p w14:paraId="679E0BEB">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统一社会信用代码：91440703MA4WPP9A7X</w:t>
      </w:r>
    </w:p>
    <w:p w14:paraId="1D65D127">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法定代表人：李红</w:t>
      </w:r>
    </w:p>
    <w:p w14:paraId="333279F9">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经营地址：江门市蓬江区荷塘镇塔岗新积沙工业区自编A1号</w:t>
      </w:r>
    </w:p>
    <w:p w14:paraId="7CDA3FFF">
      <w:pPr>
        <w:keepNext w:val="0"/>
        <w:keepLines w:val="0"/>
        <w:pageBreakBefore w:val="0"/>
        <w:widowControl w:val="0"/>
        <w:shd w:val="clear"/>
        <w:kinsoku/>
        <w:wordWrap/>
        <w:overflowPunct/>
        <w:topLinePunct w:val="0"/>
        <w:autoSpaceDE/>
        <w:autoSpaceDN/>
        <w:bidi w:val="0"/>
        <w:adjustRightInd w:val="0"/>
        <w:snapToGrid w:val="0"/>
        <w:spacing w:line="540" w:lineRule="exact"/>
        <w:jc w:val="left"/>
        <w:textAlignment w:val="auto"/>
        <w:rPr>
          <w:rFonts w:hint="eastAsia" w:ascii="仿宋_GB2312" w:eastAsia="仿宋_GB2312" w:cs="Times New Roman"/>
          <w:kern w:val="2"/>
          <w:sz w:val="32"/>
          <w:szCs w:val="32"/>
          <w:lang w:eastAsia="zh-CN"/>
        </w:rPr>
      </w:pPr>
    </w:p>
    <w:p w14:paraId="291BCE98">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日，我局执法人员对你单位进行检查，发现你单位存在以下环境违法行为：</w:t>
      </w:r>
    </w:p>
    <w:p w14:paraId="113A57D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根据你单位取得的《建设项目环境影响报告表》《关于</w:t>
      </w:r>
      <w:r>
        <w:rPr>
          <w:rFonts w:hint="eastAsia" w:ascii="仿宋_GB2312" w:eastAsia="仿宋_GB2312"/>
          <w:sz w:val="32"/>
          <w:szCs w:val="32"/>
          <w:lang w:val="en-US" w:eastAsia="zh-CN"/>
        </w:rPr>
        <w:t>江门市星越灯饰有限公司年产LED户外灯壳50万个新建</w:t>
      </w:r>
      <w:r>
        <w:rPr>
          <w:rFonts w:hint="eastAsia" w:ascii="仿宋_GB2312" w:eastAsia="仿宋_GB2312"/>
          <w:sz w:val="32"/>
          <w:szCs w:val="32"/>
          <w:lang w:eastAsia="zh-CN"/>
        </w:rPr>
        <w:t>项目环境影响报告表的批复》（江蓬环审</w:t>
      </w:r>
      <w:r>
        <w:rPr>
          <w:rFonts w:hint="eastAsia" w:ascii="仿宋_GB2312" w:hAnsi="华文仿宋" w:eastAsia="仿宋_GB2312"/>
          <w:sz w:val="32"/>
          <w:szCs w:val="32"/>
        </w:rPr>
        <w:t>〔</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1</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104号</w:t>
      </w:r>
      <w:r>
        <w:rPr>
          <w:rFonts w:hint="eastAsia" w:ascii="仿宋_GB2312" w:eastAsia="仿宋_GB2312"/>
          <w:sz w:val="32"/>
          <w:szCs w:val="32"/>
          <w:lang w:eastAsia="zh-CN"/>
        </w:rPr>
        <w:t>）、《</w:t>
      </w:r>
      <w:r>
        <w:rPr>
          <w:rFonts w:hint="eastAsia" w:ascii="仿宋_GB2312" w:eastAsia="仿宋_GB2312"/>
          <w:sz w:val="32"/>
          <w:szCs w:val="32"/>
          <w:lang w:val="en-US" w:eastAsia="zh-CN"/>
        </w:rPr>
        <w:t>江门市星越灯饰有限公司年产LED户外灯壳50万个新建项目（一期工程）验收报告</w:t>
      </w:r>
      <w:r>
        <w:rPr>
          <w:rFonts w:hint="eastAsia" w:ascii="仿宋_GB2312" w:eastAsia="仿宋_GB2312"/>
          <w:sz w:val="32"/>
          <w:szCs w:val="32"/>
          <w:lang w:eastAsia="zh-CN"/>
        </w:rPr>
        <w:t>》及《排污许可证》（证书编号：</w:t>
      </w:r>
      <w:r>
        <w:rPr>
          <w:rFonts w:hint="eastAsia" w:ascii="仿宋_GB2312" w:eastAsia="仿宋_GB2312"/>
          <w:sz w:val="32"/>
          <w:szCs w:val="32"/>
          <w:lang w:val="en-US" w:eastAsia="zh-CN"/>
        </w:rPr>
        <w:t>91440703MA4WPP9A7X001Z</w:t>
      </w:r>
      <w:r>
        <w:rPr>
          <w:rFonts w:hint="eastAsia" w:ascii="仿宋_GB2312" w:eastAsia="仿宋_GB2312"/>
          <w:sz w:val="32"/>
          <w:szCs w:val="32"/>
          <w:lang w:eastAsia="zh-CN"/>
        </w:rPr>
        <w:t>）内容显示，你单位熔融、压铸工序及燃烧产生的污染物主要为非甲烷总烃、颗粒物和氮氧化物；熔铸燃烧废气（生产过程中包含熔铝烟尘、燃气废气、脱模废气）经收集后通过“水喷淋</w:t>
      </w:r>
      <w:r>
        <w:rPr>
          <w:rFonts w:hint="eastAsia" w:ascii="仿宋_GB2312" w:eastAsia="仿宋_GB2312"/>
          <w:sz w:val="32"/>
          <w:szCs w:val="32"/>
          <w:lang w:val="en-US" w:eastAsia="zh-CN"/>
        </w:rPr>
        <w:t>+静电除油+活性炭吸附</w:t>
      </w:r>
      <w:r>
        <w:rPr>
          <w:rFonts w:hint="eastAsia" w:ascii="仿宋_GB2312" w:eastAsia="仿宋_GB2312"/>
          <w:sz w:val="32"/>
          <w:szCs w:val="32"/>
          <w:lang w:eastAsia="zh-CN"/>
        </w:rPr>
        <w:t>”装置处理后引至</w:t>
      </w:r>
      <w:r>
        <w:rPr>
          <w:rFonts w:hint="eastAsia" w:ascii="仿宋_GB2312" w:eastAsia="仿宋_GB2312"/>
          <w:sz w:val="32"/>
          <w:szCs w:val="32"/>
          <w:lang w:val="en-US" w:eastAsia="zh-CN"/>
        </w:rPr>
        <w:t>15m排气筒排放</w:t>
      </w:r>
      <w:r>
        <w:rPr>
          <w:rFonts w:hint="eastAsia" w:ascii="仿宋_GB2312" w:eastAsia="仿宋_GB2312"/>
          <w:sz w:val="32"/>
          <w:szCs w:val="32"/>
          <w:highlight w:val="none"/>
          <w:lang w:val="en-US" w:eastAsia="zh-CN"/>
        </w:rPr>
        <w:t>。</w:t>
      </w:r>
      <w:r>
        <w:rPr>
          <w:rFonts w:hint="eastAsia" w:ascii="仿宋_GB2312" w:eastAsia="仿宋_GB2312"/>
          <w:sz w:val="32"/>
          <w:szCs w:val="32"/>
          <w:lang w:val="en-US" w:eastAsia="zh-CN"/>
        </w:rPr>
        <w:t>现场检查期间你单位熔融、压铸工序正在生产，实际配套的</w:t>
      </w:r>
      <w:r>
        <w:rPr>
          <w:rFonts w:hint="eastAsia" w:ascii="仿宋_GB2312" w:eastAsia="仿宋_GB2312"/>
          <w:sz w:val="32"/>
          <w:szCs w:val="32"/>
          <w:lang w:eastAsia="zh-CN"/>
        </w:rPr>
        <w:t>“水喷淋</w:t>
      </w:r>
      <w:r>
        <w:rPr>
          <w:rFonts w:hint="eastAsia" w:ascii="仿宋_GB2312" w:eastAsia="仿宋_GB2312"/>
          <w:sz w:val="32"/>
          <w:szCs w:val="32"/>
          <w:lang w:val="en-US" w:eastAsia="zh-CN"/>
        </w:rPr>
        <w:t>+干式过滤器+静电除油+活性炭吸附</w:t>
      </w:r>
      <w:r>
        <w:rPr>
          <w:rFonts w:hint="eastAsia" w:ascii="仿宋_GB2312" w:eastAsia="仿宋_GB2312"/>
          <w:sz w:val="32"/>
          <w:szCs w:val="32"/>
          <w:lang w:eastAsia="zh-CN"/>
        </w:rPr>
        <w:t>”污染防治设施未开启运行</w:t>
      </w:r>
      <w:r>
        <w:rPr>
          <w:rFonts w:hint="eastAsia" w:ascii="仿宋_GB2312" w:eastAsia="仿宋_GB2312"/>
          <w:sz w:val="32"/>
          <w:szCs w:val="32"/>
          <w:lang w:val="en-US" w:eastAsia="zh-CN"/>
        </w:rPr>
        <w:t>，设备风机未运行。综上，你单位</w:t>
      </w:r>
      <w:r>
        <w:rPr>
          <w:rFonts w:hint="eastAsia" w:ascii="仿宋_GB2312" w:eastAsia="仿宋_GB2312"/>
          <w:sz w:val="32"/>
          <w:szCs w:val="32"/>
          <w:lang w:eastAsia="zh-CN"/>
        </w:rPr>
        <w:t>熔融、压铸及燃烧废气不经过处理设施直接排放，即</w:t>
      </w:r>
      <w:r>
        <w:rPr>
          <w:rFonts w:hint="eastAsia" w:ascii="仿宋_GB2312" w:eastAsia="仿宋_GB2312"/>
          <w:sz w:val="32"/>
          <w:szCs w:val="32"/>
          <w:lang w:val="en-US" w:eastAsia="zh-CN"/>
        </w:rPr>
        <w:t>通过不正常运行大气防治污染设施的逃避监管的方式排放污染物。</w:t>
      </w:r>
    </w:p>
    <w:p w14:paraId="00009390">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以上事实，有以下主要证据证明：</w:t>
      </w:r>
    </w:p>
    <w:p w14:paraId="63E424B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1.202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5日</w:t>
      </w:r>
      <w:r>
        <w:rPr>
          <w:rFonts w:hint="default" w:ascii="仿宋_GB2312" w:eastAsia="仿宋_GB2312"/>
          <w:sz w:val="32"/>
          <w:szCs w:val="32"/>
          <w:lang w:val="en-US" w:eastAsia="zh-CN"/>
        </w:rPr>
        <w:t>江门市生态环境局执法人员现场检查所作的《江门市生态环境局现场检查（勘察）</w:t>
      </w:r>
      <w:r>
        <w:rPr>
          <w:rFonts w:hint="eastAsia" w:ascii="仿宋_GB2312" w:eastAsia="仿宋_GB2312"/>
          <w:sz w:val="32"/>
          <w:szCs w:val="32"/>
          <w:lang w:val="en-US" w:eastAsia="zh-CN"/>
        </w:rPr>
        <w:t>记</w:t>
      </w:r>
      <w:r>
        <w:rPr>
          <w:rFonts w:hint="default" w:ascii="仿宋_GB2312" w:eastAsia="仿宋_GB2312"/>
          <w:sz w:val="32"/>
          <w:szCs w:val="32"/>
          <w:lang w:val="en-US" w:eastAsia="zh-CN"/>
        </w:rPr>
        <w:t>录》。</w:t>
      </w:r>
    </w:p>
    <w:p w14:paraId="0522453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val="en-US" w:eastAsia="zh-CN"/>
        </w:rPr>
        <w:t>2.202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5日江门市生态环境局执法人员调查询问所作的《江门市生态环境局调查询问笔录》。</w:t>
      </w:r>
    </w:p>
    <w:p w14:paraId="43F936B4">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11</w:t>
      </w:r>
      <w:r>
        <w:rPr>
          <w:rFonts w:hint="default" w:ascii="仿宋_GB2312" w:eastAsia="仿宋_GB2312"/>
          <w:sz w:val="32"/>
          <w:szCs w:val="32"/>
          <w:lang w:val="en-US" w:eastAsia="zh-CN"/>
        </w:rPr>
        <w:t>月</w:t>
      </w:r>
      <w:r>
        <w:rPr>
          <w:rFonts w:hint="eastAsia" w:ascii="仿宋_GB2312" w:eastAsia="仿宋_GB2312"/>
          <w:sz w:val="32"/>
          <w:szCs w:val="32"/>
          <w:lang w:val="en-US" w:eastAsia="zh-CN"/>
        </w:rPr>
        <w:t>5日</w:t>
      </w:r>
      <w:r>
        <w:rPr>
          <w:rFonts w:hint="default" w:ascii="仿宋_GB2312" w:eastAsia="仿宋_GB2312"/>
          <w:sz w:val="32"/>
          <w:szCs w:val="32"/>
          <w:lang w:val="en-US" w:eastAsia="zh-CN"/>
        </w:rPr>
        <w:t>江门市生态环境局执法人员现场检查</w:t>
      </w:r>
      <w:r>
        <w:rPr>
          <w:rFonts w:hint="eastAsia" w:ascii="仿宋_GB2312" w:eastAsia="仿宋_GB2312"/>
          <w:sz w:val="32"/>
          <w:szCs w:val="32"/>
          <w:lang w:val="en-US" w:eastAsia="zh-CN"/>
        </w:rPr>
        <w:t>及调查询问</w:t>
      </w:r>
      <w:r>
        <w:rPr>
          <w:rFonts w:hint="default" w:ascii="仿宋_GB2312" w:eastAsia="仿宋_GB2312"/>
          <w:sz w:val="32"/>
          <w:szCs w:val="32"/>
          <w:lang w:val="en-US" w:eastAsia="zh-CN"/>
        </w:rPr>
        <w:t>时所拍摄的视频资料和照片资料</w:t>
      </w:r>
      <w:r>
        <w:rPr>
          <w:rFonts w:hint="eastAsia" w:ascii="仿宋_GB2312" w:eastAsia="仿宋_GB2312"/>
          <w:sz w:val="32"/>
          <w:szCs w:val="32"/>
          <w:lang w:val="en-US" w:eastAsia="zh-CN"/>
        </w:rPr>
        <w:t>、2025年11月6日江门市生态环境局执法人员调取档案截图所作的照片资料</w:t>
      </w:r>
      <w:r>
        <w:rPr>
          <w:rFonts w:hint="default" w:ascii="仿宋_GB2312" w:eastAsia="仿宋_GB2312"/>
          <w:sz w:val="32"/>
          <w:szCs w:val="32"/>
          <w:lang w:val="en-US" w:eastAsia="zh-CN"/>
        </w:rPr>
        <w:t>。</w:t>
      </w:r>
    </w:p>
    <w:p w14:paraId="0A2CEE1D">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证据1、2</w:t>
      </w:r>
      <w:r>
        <w:rPr>
          <w:rFonts w:hint="eastAsia" w:ascii="仿宋_GB2312" w:eastAsia="仿宋_GB2312"/>
          <w:sz w:val="32"/>
          <w:szCs w:val="32"/>
          <w:lang w:val="en-US" w:eastAsia="zh-CN"/>
        </w:rPr>
        <w:t>、3</w:t>
      </w:r>
      <w:r>
        <w:rPr>
          <w:rFonts w:hint="default" w:ascii="仿宋_GB2312" w:eastAsia="仿宋_GB2312"/>
          <w:sz w:val="32"/>
          <w:szCs w:val="32"/>
          <w:lang w:val="en-US" w:eastAsia="zh-CN"/>
        </w:rPr>
        <w:t>证明</w:t>
      </w:r>
      <w:r>
        <w:rPr>
          <w:rFonts w:hint="eastAsia" w:ascii="仿宋_GB2312" w:eastAsia="仿宋_GB2312"/>
          <w:sz w:val="32"/>
          <w:szCs w:val="32"/>
          <w:lang w:val="en-US" w:eastAsia="zh-CN"/>
        </w:rPr>
        <w:t>一是你单位的主体信息、法定代表人及现场负责人的身份信息；二是</w:t>
      </w:r>
      <w:r>
        <w:rPr>
          <w:rFonts w:hint="default" w:ascii="仿宋_GB2312" w:eastAsia="仿宋_GB2312"/>
          <w:sz w:val="32"/>
          <w:szCs w:val="32"/>
          <w:lang w:val="en-US" w:eastAsia="zh-CN"/>
        </w:rPr>
        <w:t>现场检查时你单位</w:t>
      </w:r>
      <w:r>
        <w:rPr>
          <w:rFonts w:hint="eastAsia" w:ascii="仿宋_GB2312" w:eastAsia="仿宋_GB2312"/>
          <w:sz w:val="32"/>
          <w:szCs w:val="32"/>
          <w:lang w:val="en-US" w:eastAsia="zh-CN"/>
        </w:rPr>
        <w:t>熔融、压铸工序正在生产，配套的</w:t>
      </w:r>
      <w:r>
        <w:rPr>
          <w:rFonts w:hint="eastAsia" w:ascii="仿宋_GB2312" w:eastAsia="仿宋_GB2312"/>
          <w:sz w:val="32"/>
          <w:szCs w:val="32"/>
          <w:lang w:eastAsia="zh-CN"/>
        </w:rPr>
        <w:t>“水喷淋</w:t>
      </w:r>
      <w:r>
        <w:rPr>
          <w:rFonts w:hint="eastAsia" w:ascii="仿宋_GB2312" w:eastAsia="仿宋_GB2312"/>
          <w:sz w:val="32"/>
          <w:szCs w:val="32"/>
          <w:lang w:val="en-US" w:eastAsia="zh-CN"/>
        </w:rPr>
        <w:t>+干式过滤器+静电除油+活性炭吸附</w:t>
      </w:r>
      <w:r>
        <w:rPr>
          <w:rFonts w:hint="eastAsia" w:ascii="仿宋_GB2312" w:eastAsia="仿宋_GB2312"/>
          <w:sz w:val="32"/>
          <w:szCs w:val="32"/>
          <w:lang w:eastAsia="zh-CN"/>
        </w:rPr>
        <w:t>”污染防治设施未开启运行</w:t>
      </w:r>
      <w:r>
        <w:rPr>
          <w:rFonts w:hint="eastAsia" w:ascii="仿宋_GB2312" w:eastAsia="仿宋_GB2312"/>
          <w:sz w:val="32"/>
          <w:szCs w:val="32"/>
          <w:lang w:val="en-US" w:eastAsia="zh-CN"/>
        </w:rPr>
        <w:t>，设备风机未运行，</w:t>
      </w:r>
      <w:r>
        <w:rPr>
          <w:rFonts w:hint="eastAsia" w:ascii="仿宋_GB2312" w:eastAsia="仿宋_GB2312"/>
          <w:sz w:val="32"/>
          <w:szCs w:val="32"/>
          <w:lang w:eastAsia="zh-CN"/>
        </w:rPr>
        <w:t>熔融、压铸及燃烧废气无组织扩散；三是你单位已取得的环保手续、生产设备、生产工艺流程、污染防治设施建设、污染物种类及排放方式等情况</w:t>
      </w:r>
      <w:r>
        <w:rPr>
          <w:rFonts w:hint="default" w:ascii="仿宋_GB2312" w:eastAsia="仿宋_GB2312"/>
          <w:sz w:val="32"/>
          <w:szCs w:val="32"/>
          <w:lang w:val="en-US" w:eastAsia="zh-CN"/>
        </w:rPr>
        <w:t>。</w:t>
      </w:r>
    </w:p>
    <w:p w14:paraId="03A5B7A1">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4.2025年11月5日江门市星越灯饰有限公司提供的《检测报告》[(青创）环境检测委字（2024）第060055号]。</w:t>
      </w:r>
    </w:p>
    <w:p w14:paraId="48FA312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证据</w:t>
      </w:r>
      <w:r>
        <w:rPr>
          <w:rFonts w:hint="eastAsia" w:ascii="仿宋_GB2312" w:eastAsia="仿宋_GB2312"/>
          <w:sz w:val="32"/>
          <w:szCs w:val="32"/>
          <w:lang w:val="en-US" w:eastAsia="zh-CN"/>
        </w:rPr>
        <w:t>1、2、3、4</w:t>
      </w:r>
      <w:r>
        <w:rPr>
          <w:rFonts w:hint="default" w:ascii="仿宋_GB2312" w:eastAsia="仿宋_GB2312"/>
          <w:sz w:val="32"/>
          <w:szCs w:val="32"/>
          <w:lang w:val="en-US" w:eastAsia="zh-CN"/>
        </w:rPr>
        <w:t>证明</w:t>
      </w:r>
      <w:r>
        <w:rPr>
          <w:rFonts w:hint="eastAsia" w:ascii="仿宋_GB2312" w:eastAsia="仿宋_GB2312"/>
          <w:sz w:val="32"/>
          <w:szCs w:val="32"/>
          <w:lang w:eastAsia="zh-CN"/>
        </w:rPr>
        <w:t>你单位熔融、压铸工序及燃烧产生的污染物主要为非甲烷总烃、颗粒物和氮氧化物</w:t>
      </w:r>
      <w:r>
        <w:rPr>
          <w:rFonts w:hint="default" w:ascii="仿宋_GB2312" w:eastAsia="仿宋_GB2312"/>
          <w:sz w:val="32"/>
          <w:szCs w:val="32"/>
          <w:lang w:val="en-US" w:eastAsia="zh-CN"/>
        </w:rPr>
        <w:t>。</w:t>
      </w:r>
    </w:p>
    <w:p w14:paraId="6ED03B62">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5.2025年11月5日江门市星越灯饰有限公司提供的一份《授权委托书》。</w:t>
      </w:r>
    </w:p>
    <w:p w14:paraId="6D890BE9">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证据5证明你单位已授权委托腾X清（身份证号码：43XXXXXX17）、谢X良（身份证号码：43XXXXXX14）</w:t>
      </w:r>
      <w:r>
        <w:rPr>
          <w:rFonts w:hint="eastAsia" w:ascii="仿宋_GB2312" w:hAnsi="仿宋_GB2312" w:eastAsia="仿宋_GB2312" w:cs="仿宋_GB2312"/>
          <w:sz w:val="32"/>
          <w:szCs w:val="32"/>
          <w:lang w:val="en-US" w:eastAsia="zh-CN"/>
        </w:rPr>
        <w:t>配合调查并签署执法文书及要求确认的证据材料。</w:t>
      </w:r>
    </w:p>
    <w:p w14:paraId="008BAEE6">
      <w:pPr>
        <w:keepNext w:val="0"/>
        <w:keepLines w:val="0"/>
        <w:pageBreakBefore w:val="0"/>
        <w:widowControl w:val="0"/>
        <w:shd w:val="clear" w:color="auto" w:fill="FFFFFF" w:themeFill="background1"/>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eastAsia="zh-CN"/>
        </w:rPr>
        <w:t>通过</w:t>
      </w:r>
      <w:r>
        <w:rPr>
          <w:rFonts w:hint="eastAsia" w:ascii="仿宋_GB2312" w:eastAsia="仿宋_GB2312"/>
          <w:sz w:val="32"/>
          <w:szCs w:val="32"/>
          <w:lang w:val="en-US" w:eastAsia="zh-CN"/>
        </w:rPr>
        <w:t>不正常运行大气防治污染设施等逃避监管的方式违反法律法规规定排放污染物的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排污者有下列情形之一的，环境保护主管部门依法实施查封、扣押：（四）通过暗管、渗井、渗坑、灌注或者篡改、伪造监测数据，或者不正常运行防治污染设施等逃避监管的方式违反法律法规规定排放污染物的</w:t>
      </w:r>
      <w:r>
        <w:rPr>
          <w:rFonts w:hint="eastAsia" w:ascii="仿宋_GB2312" w:eastAsia="仿宋_GB2312"/>
          <w:sz w:val="32"/>
          <w:szCs w:val="32"/>
          <w:lang w:eastAsia="zh-CN"/>
        </w:rPr>
        <w:t>”、第二款“</w:t>
      </w:r>
      <w:r>
        <w:rPr>
          <w:rFonts w:hint="eastAsia" w:ascii="仿宋_GB2312" w:eastAsia="仿宋_GB2312"/>
          <w:sz w:val="32"/>
          <w:szCs w:val="32"/>
          <w:lang w:val="en-US" w:eastAsia="zh-CN"/>
        </w:rPr>
        <w:t>有前款第一项、第二项、第三项、第六项情形之一的，环境保护主管部门可以实施查封、扣押；已造成严重污染或者有前款第四项、第五项情形之一的，环境保护主管部门应当实施查封、扣押。</w:t>
      </w:r>
      <w:r>
        <w:rPr>
          <w:rFonts w:hint="eastAsia" w:ascii="仿宋_GB2312" w:eastAsia="仿宋_GB2312"/>
          <w:sz w:val="32"/>
          <w:szCs w:val="32"/>
          <w:lang w:eastAsia="zh-CN"/>
        </w:rPr>
        <w:t>”</w:t>
      </w:r>
      <w:r>
        <w:rPr>
          <w:rFonts w:hint="eastAsia" w:ascii="仿宋_GB2312" w:eastAsia="仿宋_GB2312"/>
          <w:sz w:val="32"/>
          <w:szCs w:val="32"/>
        </w:rPr>
        <w:t>的规定。依据《环境保护主管部门实施查封、扣押办法》第二条</w:t>
      </w:r>
      <w:r>
        <w:rPr>
          <w:rFonts w:hint="eastAsia" w:ascii="仿宋_GB2312" w:eastAsia="仿宋_GB2312"/>
          <w:sz w:val="32"/>
          <w:szCs w:val="32"/>
          <w:lang w:eastAsia="zh-CN"/>
        </w:rPr>
        <w:t>“</w:t>
      </w:r>
      <w:r>
        <w:rPr>
          <w:rFonts w:hint="eastAsia" w:ascii="仿宋_GB2312" w:eastAsia="仿宋_GB2312"/>
          <w:sz w:val="32"/>
          <w:szCs w:val="32"/>
          <w:lang w:val="en-US" w:eastAsia="zh-CN"/>
        </w:rPr>
        <w:t>对企业事业单位和其他生产经营者（以下称排污者）违反法律法规规定排放污染物，造成或者可能造成严重污染，县级以上环境保护主管部门对造成污染物排放的设施、设备实施查封、扣押的，适用本办法。</w:t>
      </w:r>
      <w:r>
        <w:rPr>
          <w:rFonts w:hint="eastAsia" w:ascii="仿宋_GB2312" w:eastAsia="仿宋_GB2312"/>
          <w:sz w:val="32"/>
          <w:szCs w:val="32"/>
          <w:lang w:eastAsia="zh-CN"/>
        </w:rPr>
        <w:t>”和</w:t>
      </w:r>
      <w:r>
        <w:rPr>
          <w:rFonts w:hint="eastAsia" w:ascii="仿宋_GB2312" w:eastAsia="仿宋_GB2312"/>
          <w:sz w:val="32"/>
          <w:szCs w:val="32"/>
        </w:rPr>
        <w:t>《中华人民共和国环境保护法》第二十五条</w:t>
      </w:r>
      <w:r>
        <w:rPr>
          <w:rFonts w:hint="eastAsia" w:ascii="仿宋_GB2312" w:eastAsia="仿宋_GB2312"/>
          <w:sz w:val="32"/>
          <w:szCs w:val="32"/>
          <w:lang w:eastAsia="zh-CN"/>
        </w:rPr>
        <w:t>“</w:t>
      </w:r>
      <w:r>
        <w:rPr>
          <w:rFonts w:hint="eastAsia" w:ascii="仿宋_GB2312" w:eastAsia="仿宋_GB2312"/>
          <w:sz w:val="32"/>
          <w:szCs w:val="32"/>
          <w:lang w:val="en-US" w:eastAsia="zh-CN"/>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r>
        <w:rPr>
          <w:rFonts w:hint="eastAsia" w:ascii="仿宋_GB2312" w:eastAsia="仿宋_GB2312"/>
          <w:sz w:val="32"/>
          <w:szCs w:val="32"/>
          <w:lang w:eastAsia="zh-CN"/>
        </w:rPr>
        <w:t>”</w:t>
      </w:r>
      <w:r>
        <w:rPr>
          <w:rFonts w:hint="eastAsia" w:ascii="仿宋_GB2312" w:eastAsia="仿宋_GB2312"/>
          <w:sz w:val="32"/>
          <w:szCs w:val="32"/>
        </w:rPr>
        <w:t>的规定，我局决定对清单所列设施设备予以查封（扣押）。</w:t>
      </w:r>
    </w:p>
    <w:p w14:paraId="4B4E4C7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日起，查封（扣押）期为30日</w:t>
      </w:r>
      <w:r>
        <w:rPr>
          <w:rFonts w:hint="eastAsia" w:ascii="仿宋_GB2312" w:eastAsia="仿宋_GB2312"/>
          <w:sz w:val="32"/>
          <w:szCs w:val="32"/>
          <w:lang w:eastAsia="zh-CN"/>
        </w:rPr>
        <w:t>（时间从</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w:t>
      </w:r>
      <w:r>
        <w:rPr>
          <w:rFonts w:hint="eastAsia" w:ascii="仿宋_GB2312" w:eastAsia="仿宋_GB2312"/>
          <w:sz w:val="32"/>
          <w:szCs w:val="32"/>
          <w:lang w:val="en-US" w:eastAsia="zh-CN"/>
        </w:rPr>
        <w:t>起至2025年12月11日止</w:t>
      </w:r>
      <w:r>
        <w:rPr>
          <w:rFonts w:hint="eastAsia" w:ascii="仿宋_GB2312" w:eastAsia="仿宋_GB2312"/>
          <w:sz w:val="32"/>
          <w:szCs w:val="32"/>
          <w:lang w:eastAsia="zh-CN"/>
        </w:rPr>
        <w:t>）</w:t>
      </w:r>
      <w:r>
        <w:rPr>
          <w:rFonts w:hint="eastAsia" w:ascii="仿宋_GB2312" w:eastAsia="仿宋_GB2312"/>
          <w:sz w:val="32"/>
          <w:szCs w:val="32"/>
        </w:rPr>
        <w:t>，以就地方式，存放于你单位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14:paraId="5582A71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14:paraId="79E402F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w:t>
      </w:r>
      <w:r>
        <w:rPr>
          <w:rFonts w:hint="eastAsia" w:ascii="仿宋_GB2312" w:eastAsia="仿宋_GB2312"/>
          <w:sz w:val="32"/>
          <w:szCs w:val="32"/>
          <w:lang w:eastAsia="zh-CN"/>
        </w:rPr>
        <w:t>新会</w:t>
      </w:r>
      <w:r>
        <w:rPr>
          <w:rFonts w:hint="eastAsia" w:ascii="仿宋_GB2312" w:eastAsia="仿宋_GB2312"/>
          <w:sz w:val="32"/>
          <w:szCs w:val="32"/>
        </w:rPr>
        <w:t>区人民法院提起行政起诉。</w:t>
      </w:r>
    </w:p>
    <w:p w14:paraId="2CCF64B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2679256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w w:val="96"/>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w w:val="96"/>
          <w:sz w:val="32"/>
          <w:szCs w:val="32"/>
        </w:rPr>
        <w:t>江门市蓬江区胜利路154号珠西创谷自编1号楼5楼，</w:t>
      </w:r>
    </w:p>
    <w:p w14:paraId="6BCD909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李先生</w:t>
      </w:r>
      <w:r>
        <w:rPr>
          <w:rFonts w:hint="eastAsia" w:ascii="仿宋_GB2312" w:hAnsi="仿宋_GB2312" w:eastAsia="仿宋_GB2312" w:cs="仿宋_GB2312"/>
          <w:sz w:val="32"/>
          <w:szCs w:val="32"/>
        </w:rPr>
        <w:t>，联系电话：3291</w:t>
      </w:r>
      <w:r>
        <w:rPr>
          <w:rFonts w:hint="eastAsia" w:ascii="仿宋_GB2312" w:hAnsi="仿宋_GB2312" w:eastAsia="仿宋_GB2312" w:cs="仿宋_GB2312"/>
          <w:sz w:val="32"/>
          <w:szCs w:val="32"/>
          <w:lang w:val="en-US" w:eastAsia="zh-CN"/>
        </w:rPr>
        <w:t>960</w:t>
      </w:r>
      <w:r>
        <w:rPr>
          <w:rFonts w:hint="eastAsia" w:ascii="仿宋_GB2312" w:hAnsi="仿宋_GB2312" w:eastAsia="仿宋_GB2312" w:cs="仿宋_GB2312"/>
          <w:sz w:val="32"/>
          <w:szCs w:val="32"/>
        </w:rPr>
        <w:t>。</w:t>
      </w:r>
    </w:p>
    <w:p w14:paraId="146D5BB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p>
    <w:p w14:paraId="1D4A48D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附件：查封（扣押）设施设备清单</w:t>
      </w:r>
    </w:p>
    <w:p w14:paraId="52104F0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仿宋_GB2312" w:hAnsi="仿宋_GB2312" w:eastAsia="仿宋_GB2312" w:cs="仿宋_GB2312"/>
          <w:sz w:val="32"/>
          <w:szCs w:val="32"/>
          <w:lang w:val="en-US" w:eastAsia="zh-CN"/>
        </w:rPr>
      </w:pPr>
    </w:p>
    <w:p w14:paraId="633E0F0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江门市生态环境局</w:t>
      </w:r>
    </w:p>
    <w:p w14:paraId="3440757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14:paraId="5BF4583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1B1C1A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FBE20D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7A4A4C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57D125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39E82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E4D438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9ED6F5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780C79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66E6B21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7DC9F3">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7FE13960">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26F4CA76">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8F2ACD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4F5A07BE">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297757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EB05DFC">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31FE665">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1240079F">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A15C0BF">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1A88D1D">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0806E9BB">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54DA011">
      <w:pPr>
        <w:keepNext w:val="0"/>
        <w:keepLines w:val="0"/>
        <w:pageBreakBefore w:val="0"/>
        <w:widowControl w:val="0"/>
        <w:kinsoku/>
        <w:wordWrap/>
        <w:overflowPunct/>
        <w:topLinePunct w:val="0"/>
        <w:autoSpaceDE/>
        <w:autoSpaceDN/>
        <w:bidi w:val="0"/>
        <w:adjustRightInd w:val="0"/>
        <w:snapToGrid w:val="0"/>
        <w:spacing w:line="480" w:lineRule="exact"/>
        <w:jc w:val="left"/>
        <w:rPr>
          <w:rFonts w:hint="eastAsia" w:ascii="黑体" w:hAnsi="黑体" w:eastAsia="黑体" w:cs="黑体"/>
          <w:sz w:val="32"/>
          <w:szCs w:val="32"/>
        </w:rPr>
      </w:pPr>
    </w:p>
    <w:p w14:paraId="58D29DB6">
      <w:pPr>
        <w:keepNext w:val="0"/>
        <w:keepLines w:val="0"/>
        <w:pageBreakBefore w:val="0"/>
        <w:widowControl w:val="0"/>
        <w:kinsoku/>
        <w:wordWrap/>
        <w:overflowPunct/>
        <w:topLinePunct w:val="0"/>
        <w:autoSpaceDE/>
        <w:autoSpaceDN/>
        <w:bidi w:val="0"/>
        <w:adjustRightInd w:val="0"/>
        <w:snapToGrid w:val="0"/>
        <w:spacing w:line="48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634AA50B">
      <w:pPr>
        <w:keepNext w:val="0"/>
        <w:keepLines w:val="0"/>
        <w:pageBreakBefore w:val="0"/>
        <w:widowControl w:val="0"/>
        <w:kinsoku/>
        <w:wordWrap/>
        <w:overflowPunct/>
        <w:topLinePunct w:val="0"/>
        <w:autoSpaceDE/>
        <w:autoSpaceDN/>
        <w:bidi w:val="0"/>
        <w:adjustRightInd w:val="0"/>
        <w:snapToGrid w:val="0"/>
        <w:spacing w:line="480" w:lineRule="exact"/>
        <w:jc w:val="center"/>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6"/>
          <w:szCs w:val="36"/>
        </w:rPr>
        <w:t>查封（扣押）设施设备清单</w:t>
      </w:r>
    </w:p>
    <w:p w14:paraId="5B423131">
      <w:pPr>
        <w:keepNext w:val="0"/>
        <w:keepLines w:val="0"/>
        <w:pageBreakBefore w:val="0"/>
        <w:widowControl/>
        <w:shd w:val="clear"/>
        <w:kinsoku/>
        <w:wordWrap/>
        <w:overflowPunct/>
        <w:topLinePunct w:val="0"/>
        <w:autoSpaceDE/>
        <w:autoSpaceDN/>
        <w:bidi w:val="0"/>
        <w:adjustRightInd/>
        <w:snapToGrid/>
        <w:spacing w:line="240" w:lineRule="auto"/>
        <w:ind w:firstLine="0" w:firstLineChars="0"/>
        <w:rPr>
          <w:rFonts w:hint="default" w:ascii="Times New Roman" w:eastAsia="宋体"/>
          <w:sz w:val="21"/>
          <w:szCs w:val="24"/>
          <w:lang w:val="en-US" w:eastAsia="zh-CN"/>
        </w:rPr>
      </w:pPr>
    </w:p>
    <w:p w14:paraId="4ADA1D32">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当事人：江门市星越灯饰有限公司</w:t>
      </w:r>
    </w:p>
    <w:p w14:paraId="36C1AAAC">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统一社会信用代码：91440703MA4WPP9A7X</w:t>
      </w:r>
    </w:p>
    <w:p w14:paraId="10C80086">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法定代表人：李红</w:t>
      </w:r>
    </w:p>
    <w:p w14:paraId="6A1F4819">
      <w:pPr>
        <w:keepNext w:val="0"/>
        <w:keepLines w:val="0"/>
        <w:pageBreakBefore w:val="0"/>
        <w:widowControl w:val="0"/>
        <w:shd w:val="clear"/>
        <w:kinsoku/>
        <w:wordWrap/>
        <w:overflowPunct/>
        <w:topLinePunct w:val="0"/>
        <w:autoSpaceDE/>
        <w:autoSpaceDN/>
        <w:bidi w:val="0"/>
        <w:adjustRightInd w:val="0"/>
        <w:snapToGrid w:val="0"/>
        <w:spacing w:line="54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经营地址：江门市蓬江区荷塘镇塔岗新积沙工业区自编A1号</w:t>
      </w:r>
    </w:p>
    <w:p w14:paraId="68C9DCB8">
      <w:pPr>
        <w:adjustRightInd w:val="0"/>
        <w:snapToGrid w:val="0"/>
        <w:jc w:val="center"/>
        <w:rPr>
          <w:rFonts w:hint="eastAsia" w:ascii="仿宋_GB2312" w:hAnsi="仿宋_GB2312" w:eastAsia="仿宋_GB2312" w:cs="仿宋_GB2312"/>
          <w:sz w:val="32"/>
          <w:szCs w:val="32"/>
        </w:rPr>
      </w:pPr>
    </w:p>
    <w:tbl>
      <w:tblPr>
        <w:tblStyle w:val="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2"/>
        <w:gridCol w:w="2308"/>
        <w:gridCol w:w="1080"/>
        <w:gridCol w:w="1800"/>
        <w:gridCol w:w="900"/>
      </w:tblGrid>
      <w:tr w14:paraId="73F8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68971472">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7E1B1154">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设施设备</w:t>
            </w:r>
          </w:p>
          <w:p w14:paraId="6D92D3C1">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2308" w:type="dxa"/>
            <w:tcBorders>
              <w:top w:val="single" w:color="auto" w:sz="4" w:space="0"/>
              <w:left w:val="single" w:color="auto" w:sz="4" w:space="0"/>
              <w:bottom w:val="single" w:color="auto" w:sz="4" w:space="0"/>
              <w:right w:val="single" w:color="auto" w:sz="4" w:space="0"/>
            </w:tcBorders>
            <w:vAlign w:val="center"/>
          </w:tcPr>
          <w:p w14:paraId="42DF7BE5">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规格或型号</w:t>
            </w:r>
          </w:p>
        </w:tc>
        <w:tc>
          <w:tcPr>
            <w:tcW w:w="1080" w:type="dxa"/>
            <w:tcBorders>
              <w:top w:val="single" w:color="auto" w:sz="4" w:space="0"/>
              <w:left w:val="single" w:color="auto" w:sz="4" w:space="0"/>
              <w:bottom w:val="single" w:color="auto" w:sz="4" w:space="0"/>
              <w:right w:val="single" w:color="auto" w:sz="4" w:space="0"/>
            </w:tcBorders>
            <w:vAlign w:val="center"/>
          </w:tcPr>
          <w:p w14:paraId="360418D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800" w:type="dxa"/>
            <w:tcBorders>
              <w:top w:val="single" w:color="auto" w:sz="4" w:space="0"/>
              <w:left w:val="single" w:color="auto" w:sz="4" w:space="0"/>
              <w:bottom w:val="single" w:color="auto" w:sz="4" w:space="0"/>
              <w:right w:val="single" w:color="auto" w:sz="4" w:space="0"/>
            </w:tcBorders>
            <w:vAlign w:val="center"/>
          </w:tcPr>
          <w:p w14:paraId="76C47A70">
            <w:pPr>
              <w:adjustRightInd w:val="0"/>
              <w:snapToGrid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生产单位</w:t>
            </w:r>
          </w:p>
        </w:tc>
        <w:tc>
          <w:tcPr>
            <w:tcW w:w="900" w:type="dxa"/>
            <w:tcBorders>
              <w:top w:val="single" w:color="auto" w:sz="4" w:space="0"/>
              <w:left w:val="single" w:color="auto" w:sz="4" w:space="0"/>
              <w:bottom w:val="single" w:color="auto" w:sz="4" w:space="0"/>
              <w:right w:val="single" w:color="auto" w:sz="4" w:space="0"/>
            </w:tcBorders>
            <w:vAlign w:val="center"/>
          </w:tcPr>
          <w:p w14:paraId="4BB45286">
            <w:pPr>
              <w:adjustRightInd w:val="0"/>
              <w:snapToGrid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14:paraId="38EE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C75EF51">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32" w:type="dxa"/>
            <w:tcBorders>
              <w:top w:val="single" w:color="auto" w:sz="4" w:space="0"/>
              <w:left w:val="single" w:color="auto" w:sz="4" w:space="0"/>
              <w:bottom w:val="single" w:color="auto" w:sz="4" w:space="0"/>
              <w:right w:val="single" w:color="auto" w:sz="4" w:space="0"/>
            </w:tcBorders>
            <w:vAlign w:val="center"/>
          </w:tcPr>
          <w:p w14:paraId="4CDB18CC">
            <w:pPr>
              <w:pStyle w:val="3"/>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熔融、压铸工序生产电箱</w:t>
            </w:r>
          </w:p>
        </w:tc>
        <w:tc>
          <w:tcPr>
            <w:tcW w:w="2308" w:type="dxa"/>
            <w:tcBorders>
              <w:top w:val="single" w:color="auto" w:sz="4" w:space="0"/>
              <w:left w:val="single" w:color="auto" w:sz="4" w:space="0"/>
              <w:bottom w:val="single" w:color="auto" w:sz="4" w:space="0"/>
              <w:right w:val="single" w:color="auto" w:sz="4" w:space="0"/>
            </w:tcBorders>
            <w:vAlign w:val="center"/>
          </w:tcPr>
          <w:p w14:paraId="19359ADC">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1080" w:type="dxa"/>
            <w:tcBorders>
              <w:top w:val="single" w:color="auto" w:sz="4" w:space="0"/>
              <w:left w:val="single" w:color="auto" w:sz="4" w:space="0"/>
              <w:bottom w:val="single" w:color="auto" w:sz="4" w:space="0"/>
              <w:right w:val="single" w:color="auto" w:sz="4" w:space="0"/>
            </w:tcBorders>
            <w:vAlign w:val="center"/>
          </w:tcPr>
          <w:p w14:paraId="00C8BDE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00" w:type="dxa"/>
            <w:tcBorders>
              <w:top w:val="single" w:color="auto" w:sz="4" w:space="0"/>
              <w:left w:val="single" w:color="auto" w:sz="4" w:space="0"/>
              <w:bottom w:val="single" w:color="auto" w:sz="4" w:space="0"/>
              <w:right w:val="single" w:color="auto" w:sz="4" w:space="0"/>
            </w:tcBorders>
            <w:vAlign w:val="center"/>
          </w:tcPr>
          <w:p w14:paraId="17F606F8">
            <w:pPr>
              <w:adjustRightInd w:val="0"/>
              <w:snapToGrid w:val="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tc>
        <w:tc>
          <w:tcPr>
            <w:tcW w:w="900" w:type="dxa"/>
            <w:tcBorders>
              <w:top w:val="single" w:color="auto" w:sz="4" w:space="0"/>
              <w:left w:val="single" w:color="auto" w:sz="4" w:space="0"/>
              <w:bottom w:val="single" w:color="auto" w:sz="4" w:space="0"/>
              <w:right w:val="single" w:color="auto" w:sz="4" w:space="0"/>
            </w:tcBorders>
            <w:vAlign w:val="center"/>
          </w:tcPr>
          <w:p w14:paraId="182DD294">
            <w:pPr>
              <w:adjustRightInd w:val="0"/>
              <w:snapToGrid w:val="0"/>
              <w:jc w:val="center"/>
              <w:rPr>
                <w:rFonts w:hint="eastAsia" w:ascii="仿宋_GB2312" w:hAnsi="仿宋_GB2312" w:eastAsia="仿宋_GB2312" w:cs="仿宋_GB2312"/>
                <w:sz w:val="32"/>
                <w:szCs w:val="32"/>
              </w:rPr>
            </w:pPr>
          </w:p>
        </w:tc>
      </w:tr>
      <w:tr w14:paraId="254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810DE6C">
            <w:pPr>
              <w:adjustRightInd w:val="0"/>
              <w:snapToGrid w:val="0"/>
              <w:jc w:val="center"/>
              <w:rPr>
                <w:rFonts w:hint="default" w:ascii="仿宋_GB2312" w:hAnsi="仿宋_GB2312" w:eastAsia="仿宋_GB2312" w:cs="仿宋_GB2312"/>
                <w:sz w:val="32"/>
                <w:szCs w:val="32"/>
                <w:lang w:val="en-US" w:eastAsia="zh-CN"/>
              </w:rPr>
            </w:pPr>
          </w:p>
        </w:tc>
        <w:tc>
          <w:tcPr>
            <w:tcW w:w="1832" w:type="dxa"/>
            <w:tcBorders>
              <w:top w:val="single" w:color="auto" w:sz="4" w:space="0"/>
              <w:left w:val="single" w:color="auto" w:sz="4" w:space="0"/>
              <w:bottom w:val="single" w:color="auto" w:sz="4" w:space="0"/>
              <w:right w:val="single" w:color="auto" w:sz="4" w:space="0"/>
            </w:tcBorders>
            <w:vAlign w:val="center"/>
          </w:tcPr>
          <w:p w14:paraId="40B0B709">
            <w:pPr>
              <w:pStyle w:val="3"/>
              <w:rPr>
                <w:rFonts w:hint="eastAsia"/>
                <w:lang w:eastAsia="zh-CN"/>
              </w:rPr>
            </w:pPr>
          </w:p>
        </w:tc>
        <w:tc>
          <w:tcPr>
            <w:tcW w:w="2308" w:type="dxa"/>
            <w:tcBorders>
              <w:top w:val="single" w:color="auto" w:sz="4" w:space="0"/>
              <w:left w:val="single" w:color="auto" w:sz="4" w:space="0"/>
              <w:bottom w:val="single" w:color="auto" w:sz="4" w:space="0"/>
              <w:right w:val="single" w:color="auto" w:sz="4" w:space="0"/>
            </w:tcBorders>
            <w:vAlign w:val="center"/>
          </w:tcPr>
          <w:p w14:paraId="3A4F80C0">
            <w:pPr>
              <w:adjustRightInd w:val="0"/>
              <w:snapToGrid w:val="0"/>
              <w:jc w:val="center"/>
              <w:rPr>
                <w:rFonts w:hint="eastAsia" w:ascii="仿宋_GB2312" w:hAnsi="仿宋_GB2312" w:eastAsia="仿宋_GB2312" w:cs="仿宋_GB2312"/>
                <w:sz w:val="32"/>
                <w:szCs w:val="32"/>
                <w:lang w:val="en-US" w:eastAsia="zh-CN"/>
              </w:rPr>
            </w:pPr>
          </w:p>
        </w:tc>
        <w:tc>
          <w:tcPr>
            <w:tcW w:w="1080" w:type="dxa"/>
            <w:tcBorders>
              <w:top w:val="single" w:color="auto" w:sz="4" w:space="0"/>
              <w:left w:val="single" w:color="auto" w:sz="4" w:space="0"/>
              <w:bottom w:val="single" w:color="auto" w:sz="4" w:space="0"/>
              <w:right w:val="single" w:color="auto" w:sz="4" w:space="0"/>
            </w:tcBorders>
            <w:vAlign w:val="center"/>
          </w:tcPr>
          <w:p w14:paraId="1A4D0839">
            <w:pPr>
              <w:adjustRightInd w:val="0"/>
              <w:snapToGrid w:val="0"/>
              <w:jc w:val="center"/>
              <w:rPr>
                <w:rFonts w:hint="default" w:ascii="仿宋_GB2312" w:hAnsi="仿宋_GB2312" w:eastAsia="仿宋_GB2312" w:cs="仿宋_GB2312"/>
                <w:sz w:val="32"/>
                <w:szCs w:val="32"/>
                <w:lang w:val="en-US" w:eastAsia="zh-CN"/>
              </w:rPr>
            </w:pPr>
          </w:p>
        </w:tc>
        <w:tc>
          <w:tcPr>
            <w:tcW w:w="1800" w:type="dxa"/>
            <w:tcBorders>
              <w:top w:val="single" w:color="auto" w:sz="4" w:space="0"/>
              <w:left w:val="single" w:color="auto" w:sz="4" w:space="0"/>
              <w:bottom w:val="single" w:color="auto" w:sz="4" w:space="0"/>
              <w:right w:val="single" w:color="auto" w:sz="4" w:space="0"/>
            </w:tcBorders>
            <w:vAlign w:val="center"/>
          </w:tcPr>
          <w:p w14:paraId="0D011345">
            <w:pPr>
              <w:adjustRightInd w:val="0"/>
              <w:snapToGrid w:val="0"/>
              <w:jc w:val="center"/>
              <w:rPr>
                <w:rFonts w:hint="default" w:ascii="仿宋_GB2312" w:hAnsi="仿宋_GB2312" w:eastAsia="仿宋_GB2312" w:cs="仿宋_GB2312"/>
                <w:sz w:val="32"/>
                <w:szCs w:val="32"/>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3D1768BE">
            <w:pPr>
              <w:adjustRightInd w:val="0"/>
              <w:snapToGrid w:val="0"/>
              <w:jc w:val="center"/>
              <w:rPr>
                <w:rFonts w:hint="eastAsia" w:ascii="仿宋_GB2312" w:hAnsi="仿宋_GB2312" w:eastAsia="仿宋_GB2312" w:cs="仿宋_GB2312"/>
                <w:sz w:val="32"/>
                <w:szCs w:val="32"/>
              </w:rPr>
            </w:pPr>
          </w:p>
        </w:tc>
      </w:tr>
    </w:tbl>
    <w:p w14:paraId="1C0A2645">
      <w:pPr>
        <w:adjustRightInd w:val="0"/>
        <w:snapToGrid w:val="0"/>
        <w:rPr>
          <w:rFonts w:hint="eastAsia" w:ascii="仿宋_GB2312" w:hAnsi="仿宋_GB2312" w:eastAsia="仿宋_GB2312" w:cs="仿宋_GB2312"/>
          <w:sz w:val="32"/>
          <w:szCs w:val="32"/>
        </w:rPr>
      </w:pPr>
    </w:p>
    <w:p w14:paraId="13DEE9F5">
      <w:pPr>
        <w:adjustRightInd w:val="0"/>
        <w:snapToGrid w:val="0"/>
        <w:rPr>
          <w:rFonts w:hint="eastAsia" w:ascii="仿宋_GB2312" w:hAnsi="仿宋_GB2312" w:eastAsia="仿宋_GB2312" w:cs="仿宋_GB2312"/>
          <w:sz w:val="32"/>
          <w:szCs w:val="32"/>
          <w:vertAlign w:val="subscript"/>
        </w:rPr>
      </w:pPr>
      <w:r>
        <w:rPr>
          <w:rFonts w:hint="eastAsia" w:ascii="仿宋_GB2312" w:hAnsi="仿宋_GB2312" w:eastAsia="仿宋_GB2312" w:cs="仿宋_GB2312"/>
          <w:sz w:val="32"/>
          <w:szCs w:val="32"/>
        </w:rPr>
        <w:t>以上清单，是否与实物一致：</w:t>
      </w:r>
      <w:r>
        <w:rPr>
          <w:rFonts w:hint="eastAsia" w:ascii="仿宋_GB2312" w:hAnsi="仿宋_GB2312" w:eastAsia="仿宋_GB2312" w:cs="仿宋_GB2312"/>
          <w:sz w:val="32"/>
          <w:szCs w:val="32"/>
          <w:vertAlign w:val="subscript"/>
        </w:rPr>
        <w:t>------------------------------------------- ------ ----</w:t>
      </w:r>
    </w:p>
    <w:p w14:paraId="16C6F17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当事人（现场负责人）签名：</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46E7944A">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执法人员签名及执法证号：</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528B39E6">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p w14:paraId="21FDD083">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见证人签名及身份：</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vertAlign w:val="subscript"/>
          <w:lang w:val="en-US" w:eastAsia="zh-CN"/>
        </w:rPr>
        <w:t xml:space="preserve">     </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vertAlign w:val="subscript"/>
        </w:rPr>
        <w:t>-----</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vertAlign w:val="subscript"/>
        </w:rPr>
        <w:t xml:space="preserve"> -----</w:t>
      </w:r>
      <w:r>
        <w:rPr>
          <w:rFonts w:hint="eastAsia" w:ascii="仿宋_GB2312" w:hAnsi="仿宋_GB2312" w:eastAsia="仿宋_GB2312" w:cs="仿宋_GB2312"/>
          <w:sz w:val="32"/>
          <w:szCs w:val="32"/>
        </w:rPr>
        <w:t>日</w:t>
      </w:r>
    </w:p>
    <w:sectPr>
      <w:headerReference r:id="rId3" w:type="default"/>
      <w:footerReference r:id="rId4"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4523">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A6C01C">
                    <w:pPr>
                      <w:snapToGrid w:val="0"/>
                      <w:rPr>
                        <w:sz w:val="18"/>
                      </w:rPr>
                    </w:pPr>
                    <w:r>
                      <w:rPr>
                        <w:rFonts w:hint="default" w:ascii="Times New Roman" w:hAnsi="Times New Roman" w:eastAsia="仿宋_GB2312" w:cs="Times New Roman"/>
                        <w:sz w:val="24"/>
                        <w:szCs w:val="40"/>
                      </w:rPr>
                      <w:fldChar w:fldCharType="begin"/>
                    </w:r>
                    <w:r>
                      <w:rPr>
                        <w:rFonts w:hint="default" w:ascii="Times New Roman" w:hAnsi="Times New Roman" w:eastAsia="仿宋_GB2312" w:cs="Times New Roman"/>
                        <w:sz w:val="24"/>
                        <w:szCs w:val="40"/>
                      </w:rPr>
                      <w:instrText xml:space="preserve"> PAGE  \* MERGEFORMAT </w:instrText>
                    </w:r>
                    <w:r>
                      <w:rPr>
                        <w:rFonts w:hint="default" w:ascii="Times New Roman" w:hAnsi="Times New Roman" w:eastAsia="仿宋_GB2312" w:cs="Times New Roman"/>
                        <w:sz w:val="24"/>
                        <w:szCs w:val="40"/>
                      </w:rPr>
                      <w:fldChar w:fldCharType="separate"/>
                    </w:r>
                    <w:r>
                      <w:rPr>
                        <w:rFonts w:hint="default" w:ascii="Times New Roman" w:hAnsi="Times New Roman" w:eastAsia="仿宋_GB2312" w:cs="Times New Roman"/>
                        <w:sz w:val="24"/>
                        <w:szCs w:val="40"/>
                      </w:rPr>
                      <w:t>- 3 -</w:t>
                    </w:r>
                    <w:r>
                      <w:rPr>
                        <w:rFonts w:hint="default" w:ascii="Times New Roman" w:hAnsi="Times New Roman" w:eastAsia="仿宋_GB2312" w:cs="Times New Roman"/>
                        <w:sz w:val="24"/>
                        <w:szCs w:val="4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1D62A">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YWMyZmMyZmJjMjg4ZDMwNjVjNjQ4YjE4YjQ5ZWY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14F4799"/>
    <w:rsid w:val="0321286B"/>
    <w:rsid w:val="039A33D4"/>
    <w:rsid w:val="045B45C7"/>
    <w:rsid w:val="04617828"/>
    <w:rsid w:val="055B1C88"/>
    <w:rsid w:val="059A12A9"/>
    <w:rsid w:val="05CB253D"/>
    <w:rsid w:val="0687098C"/>
    <w:rsid w:val="07083289"/>
    <w:rsid w:val="072A3039"/>
    <w:rsid w:val="093F51A4"/>
    <w:rsid w:val="0B776C54"/>
    <w:rsid w:val="0EF80AE4"/>
    <w:rsid w:val="0F546485"/>
    <w:rsid w:val="1292643A"/>
    <w:rsid w:val="149E5FC3"/>
    <w:rsid w:val="15A33404"/>
    <w:rsid w:val="18267C51"/>
    <w:rsid w:val="18BC5B0D"/>
    <w:rsid w:val="19602B2B"/>
    <w:rsid w:val="1BB6138F"/>
    <w:rsid w:val="1C876FA1"/>
    <w:rsid w:val="1D5C75F4"/>
    <w:rsid w:val="1E702F4D"/>
    <w:rsid w:val="1F3522F8"/>
    <w:rsid w:val="1FC6270C"/>
    <w:rsid w:val="20517888"/>
    <w:rsid w:val="21E37712"/>
    <w:rsid w:val="25466EF6"/>
    <w:rsid w:val="28053705"/>
    <w:rsid w:val="28A91D04"/>
    <w:rsid w:val="28D15E0E"/>
    <w:rsid w:val="2AD02FF7"/>
    <w:rsid w:val="2BF32844"/>
    <w:rsid w:val="2D1F1DE5"/>
    <w:rsid w:val="2E6548DD"/>
    <w:rsid w:val="2E9A158B"/>
    <w:rsid w:val="2ED1269F"/>
    <w:rsid w:val="328A04E3"/>
    <w:rsid w:val="33EA5EBF"/>
    <w:rsid w:val="344978BC"/>
    <w:rsid w:val="363F1045"/>
    <w:rsid w:val="3653439F"/>
    <w:rsid w:val="373844F7"/>
    <w:rsid w:val="39A3325C"/>
    <w:rsid w:val="3AE10222"/>
    <w:rsid w:val="3AEF11C5"/>
    <w:rsid w:val="3C9545C5"/>
    <w:rsid w:val="3E000321"/>
    <w:rsid w:val="3ED629F6"/>
    <w:rsid w:val="3F000675"/>
    <w:rsid w:val="3F347DC3"/>
    <w:rsid w:val="406B5890"/>
    <w:rsid w:val="407177C0"/>
    <w:rsid w:val="411B6707"/>
    <w:rsid w:val="423D1846"/>
    <w:rsid w:val="430E219D"/>
    <w:rsid w:val="43E42415"/>
    <w:rsid w:val="45E71A2E"/>
    <w:rsid w:val="46F51184"/>
    <w:rsid w:val="4AF365DD"/>
    <w:rsid w:val="4B017A78"/>
    <w:rsid w:val="4F0E65C9"/>
    <w:rsid w:val="51732E0C"/>
    <w:rsid w:val="51C013F6"/>
    <w:rsid w:val="51FC2007"/>
    <w:rsid w:val="53083527"/>
    <w:rsid w:val="54835DDC"/>
    <w:rsid w:val="55FF0010"/>
    <w:rsid w:val="58C257CD"/>
    <w:rsid w:val="5BC12E3C"/>
    <w:rsid w:val="5C1B73D1"/>
    <w:rsid w:val="5C5557D1"/>
    <w:rsid w:val="5DB72B7F"/>
    <w:rsid w:val="5DCF5051"/>
    <w:rsid w:val="5F11044E"/>
    <w:rsid w:val="60697A97"/>
    <w:rsid w:val="608851B5"/>
    <w:rsid w:val="6161280C"/>
    <w:rsid w:val="62CE26D5"/>
    <w:rsid w:val="6351173E"/>
    <w:rsid w:val="639008B1"/>
    <w:rsid w:val="63C50706"/>
    <w:rsid w:val="6586178F"/>
    <w:rsid w:val="684A6664"/>
    <w:rsid w:val="68905AE4"/>
    <w:rsid w:val="689B4E85"/>
    <w:rsid w:val="69AB2DA8"/>
    <w:rsid w:val="6A261389"/>
    <w:rsid w:val="6B2C4D44"/>
    <w:rsid w:val="6BBB40F8"/>
    <w:rsid w:val="6E9452AA"/>
    <w:rsid w:val="6FB23BA0"/>
    <w:rsid w:val="6FB27214"/>
    <w:rsid w:val="70207B89"/>
    <w:rsid w:val="735663EA"/>
    <w:rsid w:val="73FA74E5"/>
    <w:rsid w:val="741337A0"/>
    <w:rsid w:val="74C7677D"/>
    <w:rsid w:val="754F1411"/>
    <w:rsid w:val="75677D97"/>
    <w:rsid w:val="78E46EC4"/>
    <w:rsid w:val="79F843E6"/>
    <w:rsid w:val="7A255CDA"/>
    <w:rsid w:val="7CA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Calibri" w:hAnsi="Calibr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2234</Words>
  <Characters>2622</Characters>
  <Lines>9</Lines>
  <Paragraphs>2</Paragraphs>
  <TotalTime>3</TotalTime>
  <ScaleCrop>false</ScaleCrop>
  <LinksUpToDate>false</LinksUpToDate>
  <CharactersWithSpaces>2735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2024-06-25T07:22:00Z</cp:lastPrinted>
  <dcterms:modified xsi:type="dcterms:W3CDTF">2025-11-19T08:26:45Z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409951101_cloud</vt:lpwstr>
  </property>
  <property fmtid="{D5CDD505-2E9C-101B-9397-08002B2CF9AE}" pid="4" name="ICV">
    <vt:lpwstr>9B9893C20AD349D58AFCD86C6247595C</vt:lpwstr>
  </property>
  <property fmtid="{D5CDD505-2E9C-101B-9397-08002B2CF9AE}" pid="5" name="KSOTemplateDocerSaveRecord">
    <vt:lpwstr>eyJoZGlkIjoiMDY0ZTQxMGVlNzJhOWYyYTI4MmViYmVkMzAzZDc0OGEiLCJ1c2VySWQiOiI0MDk5NTExMDEifQ==</vt:lpwstr>
  </property>
</Properties>
</file>