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w:t>
      </w:r>
      <w:r>
        <w:rPr>
          <w:rFonts w:ascii="方正小标宋_GBK" w:hAnsi="方正小标宋_GBK" w:eastAsia="方正小标宋_GBK" w:cs="方正小标宋_GBK"/>
          <w:bCs/>
          <w:sz w:val="44"/>
          <w:szCs w:val="44"/>
        </w:rPr>
        <w:t>5</w:t>
      </w:r>
      <w:r>
        <w:rPr>
          <w:rFonts w:hint="eastAsia" w:ascii="方正小标宋_GBK" w:hAnsi="方正小标宋_GBK" w:eastAsia="方正小标宋_GBK" w:cs="方正小标宋_GBK"/>
          <w:bCs/>
          <w:sz w:val="44"/>
          <w:szCs w:val="44"/>
          <w:lang w:val="en-US" w:eastAsia="zh-CN"/>
        </w:rPr>
        <w:t>-2026</w:t>
      </w:r>
      <w:r>
        <w:rPr>
          <w:rFonts w:hint="eastAsia" w:ascii="方正小标宋_GBK" w:hAnsi="方正小标宋_GBK" w:eastAsia="方正小标宋_GBK" w:cs="方正小标宋_GBK"/>
          <w:bCs/>
          <w:sz w:val="44"/>
          <w:szCs w:val="44"/>
        </w:rPr>
        <w:t>年江门市蓬江区中心机房</w:t>
      </w:r>
    </w:p>
    <w:p>
      <w:pPr>
        <w:snapToGrid w:val="0"/>
        <w:spacing w:line="240" w:lineRule="auto"/>
        <w:jc w:val="center"/>
        <w:rPr>
          <w:rFonts w:ascii="宋体" w:hAnsi="宋体" w:cs="方正大标宋简体"/>
          <w:b/>
          <w:sz w:val="44"/>
          <w:szCs w:val="44"/>
        </w:rPr>
      </w:pPr>
      <w:r>
        <w:rPr>
          <w:rFonts w:hint="eastAsia" w:ascii="方正小标宋_GBK" w:hAnsi="方正小标宋_GBK" w:eastAsia="方正小标宋_GBK" w:cs="方正小标宋_GBK"/>
          <w:bCs/>
          <w:sz w:val="44"/>
          <w:szCs w:val="44"/>
        </w:rPr>
        <w:t>安全建设项目采购需求</w:t>
      </w:r>
    </w:p>
    <w:p>
      <w:pPr>
        <w:pStyle w:val="2"/>
        <w:spacing w:before="0" w:after="0" w:line="576" w:lineRule="exact"/>
        <w:ind w:firstLine="640" w:firstLineChars="200"/>
        <w:rPr>
          <w:rFonts w:ascii="黑体" w:hAnsi="黑体" w:eastAsia="黑体" w:cs="黑体"/>
          <w:b w:val="0"/>
          <w:bCs w:val="0"/>
          <w:sz w:val="32"/>
          <w:szCs w:val="32"/>
        </w:rPr>
      </w:pPr>
    </w:p>
    <w:p>
      <w:pPr>
        <w:pStyle w:val="2"/>
        <w:spacing w:before="0" w:after="0" w:line="576"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一、项目概述</w:t>
      </w:r>
    </w:p>
    <w:p>
      <w:pPr>
        <w:pStyle w:val="3"/>
        <w:spacing w:before="0" w:after="0" w:line="576" w:lineRule="exact"/>
        <w:ind w:firstLine="642" w:firstLineChars="200"/>
        <w:rPr>
          <w:rFonts w:ascii="仿宋_GB2312" w:hAnsi="仿宋_GB2312" w:eastAsia="仿宋_GB2312" w:cs="仿宋_GB2312"/>
        </w:rPr>
      </w:pPr>
      <w:r>
        <w:rPr>
          <w:rFonts w:hint="eastAsia" w:ascii="仿宋_GB2312" w:hAnsi="仿宋_GB2312" w:eastAsia="仿宋_GB2312" w:cs="仿宋_GB2312"/>
        </w:rPr>
        <w:t>1.项目名称、采购方式及预算</w:t>
      </w:r>
    </w:p>
    <w:p>
      <w:pPr>
        <w:widowControl w:val="0"/>
        <w:spacing w:line="576" w:lineRule="exact"/>
        <w:ind w:firstLine="640" w:firstLineChars="200"/>
        <w:jc w:val="both"/>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项</w:t>
      </w:r>
      <w:r>
        <w:rPr>
          <w:rFonts w:hint="eastAsia" w:ascii="仿宋_GB2312" w:hAnsi="仿宋_GB2312" w:eastAsia="仿宋_GB2312" w:cs="仿宋_GB2312"/>
          <w:spacing w:val="-6"/>
          <w:kern w:val="0"/>
          <w:sz w:val="32"/>
          <w:szCs w:val="32"/>
        </w:rPr>
        <w:t>目名称：202</w:t>
      </w:r>
      <w:r>
        <w:rPr>
          <w:rFonts w:ascii="仿宋_GB2312" w:hAnsi="仿宋_GB2312" w:eastAsia="仿宋_GB2312" w:cs="仿宋_GB2312"/>
          <w:spacing w:val="-6"/>
          <w:kern w:val="0"/>
          <w:sz w:val="32"/>
          <w:szCs w:val="32"/>
        </w:rPr>
        <w:t>5</w:t>
      </w:r>
      <w:r>
        <w:rPr>
          <w:rFonts w:hint="eastAsia" w:ascii="仿宋_GB2312" w:hAnsi="仿宋_GB2312" w:eastAsia="仿宋_GB2312" w:cs="仿宋_GB2312"/>
          <w:spacing w:val="-6"/>
          <w:kern w:val="0"/>
          <w:sz w:val="32"/>
          <w:szCs w:val="32"/>
          <w:lang w:val="en-US" w:eastAsia="zh-CN"/>
        </w:rPr>
        <w:t>-2026</w:t>
      </w:r>
      <w:r>
        <w:rPr>
          <w:rFonts w:hint="eastAsia" w:ascii="仿宋_GB2312" w:hAnsi="仿宋_GB2312" w:eastAsia="仿宋_GB2312" w:cs="仿宋_GB2312"/>
          <w:spacing w:val="-6"/>
          <w:kern w:val="0"/>
          <w:sz w:val="32"/>
          <w:szCs w:val="32"/>
        </w:rPr>
        <w:t>年江门市蓬江区中心机房安全建设项目</w:t>
      </w:r>
    </w:p>
    <w:p>
      <w:pPr>
        <w:widowControl w:val="0"/>
        <w:spacing w:line="576" w:lineRule="exact"/>
        <w:ind w:firstLine="640" w:firstLineChars="20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采购方式：网上询价</w:t>
      </w:r>
    </w:p>
    <w:p>
      <w:pPr>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kern w:val="0"/>
          <w:sz w:val="32"/>
          <w:szCs w:val="32"/>
        </w:rPr>
        <w:t>预算金额：人民币</w:t>
      </w:r>
      <w:r>
        <w:rPr>
          <w:rFonts w:ascii="仿宋_GB2312" w:hAnsi="仿宋_GB2312" w:eastAsia="仿宋_GB2312" w:cs="仿宋_GB2312"/>
          <w:kern w:val="0"/>
          <w:sz w:val="32"/>
          <w:szCs w:val="32"/>
        </w:rPr>
        <w:t>360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00.00元（大写：人民币叁拾陆万元整）。</w:t>
      </w:r>
    </w:p>
    <w:p>
      <w:pPr>
        <w:pStyle w:val="3"/>
        <w:spacing w:before="0" w:after="0" w:line="576" w:lineRule="exact"/>
        <w:ind w:firstLine="642" w:firstLineChars="200"/>
        <w:rPr>
          <w:rFonts w:ascii="仿宋_GB2312" w:hAnsi="仿宋_GB2312" w:eastAsia="仿宋_GB2312" w:cs="仿宋_GB2312"/>
        </w:rPr>
      </w:pPr>
      <w:r>
        <w:rPr>
          <w:rFonts w:hint="eastAsia" w:ascii="仿宋_GB2312" w:hAnsi="仿宋_GB2312" w:eastAsia="仿宋_GB2312" w:cs="仿宋_GB2312"/>
        </w:rPr>
        <w:t>2.项目背景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随着网络攻击技术的迭代升级，针对政务系统的定向攻击、数据窃取、恶意破坏等安全威胁愈发频繁，且攻击手段更具隐蔽性、针对性，筑牢我区网络安全防线已成为亟待推进的重要工作。</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从安全设备运行保障来看，我区中心机房Web应用防火墙、上网行为管理</w:t>
      </w:r>
      <w:r>
        <w:rPr>
          <w:rFonts w:hint="eastAsia" w:ascii="仿宋_GB2312" w:hAnsi="仿宋_GB2312" w:eastAsia="仿宋_GB2312" w:cs="仿宋_GB2312"/>
          <w:sz w:val="32"/>
          <w:szCs w:val="32"/>
          <w:lang w:eastAsia="zh-CN"/>
        </w:rPr>
        <w:t>、安全网关</w:t>
      </w:r>
      <w:r>
        <w:rPr>
          <w:rFonts w:hint="eastAsia" w:ascii="仿宋_GB2312" w:hAnsi="仿宋_GB2312" w:eastAsia="仿宋_GB2312" w:cs="仿宋_GB2312"/>
          <w:sz w:val="32"/>
          <w:szCs w:val="32"/>
        </w:rPr>
        <w:t>等核心安全防护设备，是抵御网络攻击、保障政务网络边界安全的“第一道屏障”</w:t>
      </w:r>
      <w:r>
        <w:rPr>
          <w:rFonts w:hint="eastAsia" w:ascii="仿宋_GB2312" w:hAnsi="仿宋_GB2312" w:eastAsia="仿宋_GB2312" w:cs="仿宋_GB2312"/>
          <w:sz w:val="32"/>
          <w:szCs w:val="32"/>
          <w:lang w:eastAsia="zh-CN"/>
        </w:rPr>
        <w:t>，网络安全设备续保需定期更新。</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规性刚性要求方面，根据《网络安全法》《数据安全法》《个人信息保护法》《网络安全等级保护条例》等法律法规及国家网络安全相关标准规范，我区中心机房属于网络安全等级保护二级及以上重点保护对象，须定期通过专业测评机构的等级保护合规测评，并持续整改安全隐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从主动风险防控需求来看，政务网络系统亟需通过专业的渗透测试服务，提前排查并修复安全隐患，构建“主动防御 + 被动防护”的全方位安全防护体系，提升政府应对复杂网络安全威胁的快速处置能力，保障政务工作的连续性与安全性。</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综上，为严格落实国家网络安全法律法规要求、保障我区政务网络与数据安全、维护公共利益与社会稳定，启动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025-2026年江门市蓬江区中心机房安全建设项目</w:t>
      </w:r>
      <w:r>
        <w:rPr>
          <w:rFonts w:hint="eastAsia" w:ascii="仿宋_GB2312" w:hAnsi="仿宋_GB2312" w:eastAsia="仿宋_GB2312" w:cs="仿宋_GB2312"/>
          <w:sz w:val="32"/>
          <w:szCs w:val="32"/>
          <w:lang w:eastAsia="zh-CN"/>
        </w:rPr>
        <w:t>十分必要。</w:t>
      </w:r>
    </w:p>
    <w:p>
      <w:pPr>
        <w:pStyle w:val="3"/>
        <w:spacing w:before="0" w:after="0" w:line="576"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3.主要内容（技术规格、参数及要求）</w:t>
      </w:r>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72"/>
        <w:gridCol w:w="1248"/>
        <w:gridCol w:w="709"/>
        <w:gridCol w:w="709"/>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2" w:type="dxa"/>
            <w:vAlign w:val="center"/>
          </w:tcPr>
          <w:p>
            <w:pPr>
              <w:spacing w:line="340" w:lineRule="exact"/>
              <w:jc w:val="center"/>
              <w:rPr>
                <w:rFonts w:ascii="仿宋_GB2312" w:hAnsi="仿宋_GB2312" w:eastAsia="仿宋_GB2312" w:cs="仿宋_GB2312"/>
                <w:b/>
                <w:szCs w:val="24"/>
              </w:rPr>
            </w:pPr>
            <w:r>
              <w:rPr>
                <w:rFonts w:hint="eastAsia" w:ascii="仿宋_GB2312" w:hAnsi="仿宋_GB2312" w:eastAsia="仿宋_GB2312" w:cs="仿宋_GB2312"/>
                <w:b/>
                <w:szCs w:val="24"/>
              </w:rPr>
              <w:t>序号</w:t>
            </w:r>
          </w:p>
        </w:tc>
        <w:tc>
          <w:tcPr>
            <w:tcW w:w="2220" w:type="dxa"/>
            <w:gridSpan w:val="2"/>
            <w:vAlign w:val="center"/>
          </w:tcPr>
          <w:p>
            <w:pPr>
              <w:spacing w:line="340" w:lineRule="exact"/>
              <w:jc w:val="center"/>
              <w:rPr>
                <w:rFonts w:ascii="仿宋_GB2312" w:hAnsi="仿宋_GB2312" w:eastAsia="仿宋_GB2312" w:cs="仿宋_GB2312"/>
                <w:b/>
                <w:szCs w:val="24"/>
              </w:rPr>
            </w:pPr>
            <w:r>
              <w:rPr>
                <w:rFonts w:hint="eastAsia" w:ascii="仿宋_GB2312" w:hAnsi="仿宋_GB2312" w:eastAsia="仿宋_GB2312" w:cs="仿宋_GB2312"/>
                <w:b/>
                <w:szCs w:val="24"/>
              </w:rPr>
              <w:t>项目内容</w:t>
            </w:r>
          </w:p>
        </w:tc>
        <w:tc>
          <w:tcPr>
            <w:tcW w:w="709" w:type="dxa"/>
            <w:vAlign w:val="center"/>
          </w:tcPr>
          <w:p>
            <w:pPr>
              <w:spacing w:line="340" w:lineRule="exact"/>
              <w:jc w:val="center"/>
              <w:rPr>
                <w:rFonts w:ascii="仿宋_GB2312" w:hAnsi="仿宋_GB2312" w:eastAsia="仿宋_GB2312" w:cs="仿宋_GB2312"/>
                <w:b/>
                <w:szCs w:val="24"/>
              </w:rPr>
            </w:pPr>
            <w:r>
              <w:rPr>
                <w:rFonts w:hint="eastAsia" w:ascii="仿宋_GB2312" w:hAnsi="仿宋_GB2312" w:eastAsia="仿宋_GB2312" w:cs="仿宋_GB2312"/>
                <w:b/>
                <w:szCs w:val="24"/>
              </w:rPr>
              <w:t>单位</w:t>
            </w:r>
          </w:p>
        </w:tc>
        <w:tc>
          <w:tcPr>
            <w:tcW w:w="709" w:type="dxa"/>
            <w:vAlign w:val="center"/>
          </w:tcPr>
          <w:p>
            <w:pPr>
              <w:spacing w:line="340" w:lineRule="exact"/>
              <w:jc w:val="center"/>
              <w:rPr>
                <w:rFonts w:ascii="仿宋_GB2312" w:hAnsi="仿宋_GB2312" w:eastAsia="仿宋_GB2312" w:cs="仿宋_GB2312"/>
                <w:b/>
                <w:szCs w:val="24"/>
              </w:rPr>
            </w:pPr>
            <w:r>
              <w:rPr>
                <w:rFonts w:hint="eastAsia" w:ascii="仿宋_GB2312" w:hAnsi="仿宋_GB2312" w:eastAsia="仿宋_GB2312" w:cs="仿宋_GB2312"/>
                <w:b/>
                <w:szCs w:val="24"/>
              </w:rPr>
              <w:t>数量</w:t>
            </w:r>
          </w:p>
        </w:tc>
        <w:tc>
          <w:tcPr>
            <w:tcW w:w="4110" w:type="dxa"/>
            <w:vAlign w:val="center"/>
          </w:tcPr>
          <w:p>
            <w:pPr>
              <w:spacing w:line="340" w:lineRule="exact"/>
              <w:jc w:val="center"/>
              <w:rPr>
                <w:rFonts w:ascii="仿宋_GB2312" w:hAnsi="仿宋_GB2312" w:eastAsia="仿宋_GB2312" w:cs="仿宋_GB2312"/>
                <w:b/>
                <w:szCs w:val="24"/>
              </w:rPr>
            </w:pPr>
            <w:r>
              <w:rPr>
                <w:rFonts w:hint="eastAsia" w:ascii="仿宋_GB2312" w:hAnsi="仿宋_GB2312" w:eastAsia="仿宋_GB2312" w:cs="仿宋_GB2312"/>
                <w:b/>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752" w:type="dxa"/>
            <w:vMerge w:val="restart"/>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972" w:type="dxa"/>
            <w:vMerge w:val="restart"/>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安全设备续保服务</w:t>
            </w:r>
          </w:p>
        </w:tc>
        <w:tc>
          <w:tcPr>
            <w:tcW w:w="1248" w:type="dxa"/>
            <w:vAlign w:val="center"/>
          </w:tcPr>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深信服防火墙续保服务</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台</w:t>
            </w:r>
          </w:p>
        </w:tc>
        <w:tc>
          <w:tcPr>
            <w:tcW w:w="709" w:type="dxa"/>
            <w:vAlign w:val="center"/>
          </w:tcPr>
          <w:p>
            <w:pPr>
              <w:spacing w:line="340" w:lineRule="exact"/>
              <w:jc w:val="center"/>
              <w:rPr>
                <w:rFonts w:ascii="仿宋_GB2312" w:hAnsi="仿宋_GB2312" w:eastAsia="仿宋_GB2312" w:cs="仿宋_GB2312"/>
                <w:szCs w:val="24"/>
              </w:rPr>
            </w:pPr>
            <w:r>
              <w:rPr>
                <w:rFonts w:ascii="仿宋_GB2312" w:hAnsi="仿宋_GB2312" w:eastAsia="仿宋_GB2312" w:cs="仿宋_GB2312"/>
                <w:szCs w:val="24"/>
              </w:rPr>
              <w:t>2</w:t>
            </w:r>
          </w:p>
        </w:tc>
        <w:tc>
          <w:tcPr>
            <w:tcW w:w="4110" w:type="dxa"/>
            <w:vAlign w:val="center"/>
          </w:tcPr>
          <w:p>
            <w:pPr>
              <w:spacing w:line="340" w:lineRule="exact"/>
              <w:jc w:val="both"/>
              <w:rPr>
                <w:rFonts w:ascii="仿宋_GB2312" w:hAnsi="仿宋_GB2312" w:eastAsia="仿宋_GB2312" w:cs="仿宋_GB2312"/>
                <w:szCs w:val="24"/>
              </w:rPr>
            </w:pPr>
            <w:bookmarkStart w:id="5" w:name="_GoBack"/>
            <w:bookmarkEnd w:id="5"/>
            <w:r>
              <w:rPr>
                <w:rFonts w:hint="eastAsia" w:ascii="仿宋_GB2312" w:hAnsi="仿宋_GB2312" w:eastAsia="仿宋_GB2312" w:cs="仿宋_GB2312"/>
                <w:szCs w:val="24"/>
              </w:rPr>
              <w:t>现有设备型号：AF-2000-H642</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对本设备购买12个月软件升级服务：</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1.产品系统升级授权； </w:t>
            </w:r>
          </w:p>
          <w:p>
            <w:pPr>
              <w:spacing w:line="340" w:lineRule="exact"/>
              <w:ind w:left="240" w:hanging="240" w:hangingChars="100"/>
              <w:jc w:val="both"/>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rPr>
              <w:t>2.远程支持服务。</w:t>
            </w:r>
            <w:r>
              <w:rPr>
                <w:rFonts w:hint="eastAsia" w:ascii="仿宋_GB2312" w:hAnsi="仿宋_GB2312" w:eastAsia="仿宋_GB2312" w:cs="仿宋_GB2312"/>
                <w:szCs w:val="24"/>
                <w:lang w:val="en-US" w:eastAsia="zh-CN"/>
              </w:rPr>
              <w:t xml:space="preserve">               </w:t>
            </w:r>
          </w:p>
          <w:p>
            <w:pPr>
              <w:spacing w:line="340" w:lineRule="exact"/>
              <w:ind w:left="240" w:hanging="240" w:hangingChars="100"/>
              <w:jc w:val="both"/>
              <w:rPr>
                <w:rFonts w:ascii="仿宋_GB2312" w:hAnsi="仿宋_GB2312" w:eastAsia="仿宋_GB2312" w:cs="仿宋_GB2312"/>
                <w:szCs w:val="24"/>
              </w:rPr>
            </w:pPr>
            <w:r>
              <w:rPr>
                <w:rFonts w:hint="eastAsia" w:ascii="仿宋_GB2312" w:hAnsi="仿宋_GB2312" w:eastAsia="仿宋_GB2312" w:cs="仿宋_GB2312"/>
                <w:szCs w:val="24"/>
              </w:rPr>
              <w:t>3.产品保修服务；</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4.硬件故障上门支持。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972" w:type="dxa"/>
            <w:vMerge w:val="continue"/>
            <w:vAlign w:val="center"/>
          </w:tcPr>
          <w:p>
            <w:pPr>
              <w:spacing w:line="340" w:lineRule="exact"/>
              <w:jc w:val="center"/>
              <w:rPr>
                <w:rFonts w:ascii="仿宋_GB2312" w:hAnsi="仿宋_GB2312" w:eastAsia="仿宋_GB2312" w:cs="仿宋_GB2312"/>
                <w:szCs w:val="24"/>
              </w:rPr>
            </w:pPr>
          </w:p>
        </w:tc>
        <w:tc>
          <w:tcPr>
            <w:tcW w:w="1248" w:type="dxa"/>
            <w:vAlign w:val="center"/>
          </w:tcPr>
          <w:p>
            <w:pPr>
              <w:spacing w:line="340" w:lineRule="exact"/>
              <w:rPr>
                <w:rFonts w:ascii="仿宋_GB2312" w:hAnsi="仿宋_GB2312" w:eastAsia="仿宋_GB2312" w:cs="仿宋_GB2312"/>
                <w:b/>
                <w:szCs w:val="24"/>
              </w:rPr>
            </w:pPr>
            <w:r>
              <w:rPr>
                <w:rFonts w:hint="eastAsia" w:ascii="仿宋_GB2312" w:hAnsi="仿宋_GB2312" w:eastAsia="仿宋_GB2312" w:cs="仿宋_GB2312"/>
                <w:szCs w:val="24"/>
              </w:rPr>
              <w:t>深信服上网行为管理续保服务</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台</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4110" w:type="dxa"/>
            <w:vAlign w:val="center"/>
          </w:tcPr>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现有设备型号：AC-1000-H440</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对本设备购买12个月软件升级服务：</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1.产品系统升级授权； </w:t>
            </w:r>
          </w:p>
          <w:p>
            <w:pPr>
              <w:spacing w:line="340" w:lineRule="exact"/>
              <w:ind w:left="240" w:hanging="240" w:hangingChars="100"/>
              <w:jc w:val="both"/>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rPr>
              <w:t>2.远程支持服务。</w:t>
            </w:r>
            <w:r>
              <w:rPr>
                <w:rFonts w:hint="eastAsia" w:ascii="仿宋_GB2312" w:hAnsi="仿宋_GB2312" w:eastAsia="仿宋_GB2312" w:cs="仿宋_GB2312"/>
                <w:szCs w:val="24"/>
                <w:lang w:val="en-US" w:eastAsia="zh-CN"/>
              </w:rPr>
              <w:t xml:space="preserve">               </w:t>
            </w:r>
          </w:p>
          <w:p>
            <w:pPr>
              <w:spacing w:line="340" w:lineRule="exact"/>
              <w:ind w:left="240" w:hanging="240" w:hangingChars="100"/>
              <w:jc w:val="both"/>
              <w:rPr>
                <w:rFonts w:ascii="仿宋_GB2312" w:hAnsi="仿宋_GB2312" w:eastAsia="仿宋_GB2312" w:cs="仿宋_GB2312"/>
                <w:szCs w:val="24"/>
              </w:rPr>
            </w:pPr>
            <w:r>
              <w:rPr>
                <w:rFonts w:hint="eastAsia" w:ascii="仿宋_GB2312" w:hAnsi="仿宋_GB2312" w:eastAsia="仿宋_GB2312" w:cs="仿宋_GB2312"/>
                <w:szCs w:val="24"/>
              </w:rPr>
              <w:t>3.产品保修服务；</w:t>
            </w:r>
          </w:p>
          <w:p>
            <w:pPr>
              <w:spacing w:line="340" w:lineRule="exact"/>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rPr>
              <w:t>4.硬件故障上门支持。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972" w:type="dxa"/>
            <w:vMerge w:val="continue"/>
            <w:vAlign w:val="center"/>
          </w:tcPr>
          <w:p>
            <w:pPr>
              <w:spacing w:line="340" w:lineRule="exact"/>
              <w:jc w:val="center"/>
              <w:rPr>
                <w:rFonts w:ascii="仿宋_GB2312" w:hAnsi="仿宋_GB2312" w:eastAsia="仿宋_GB2312" w:cs="仿宋_GB2312"/>
                <w:szCs w:val="24"/>
              </w:rPr>
            </w:pPr>
          </w:p>
        </w:tc>
        <w:tc>
          <w:tcPr>
            <w:tcW w:w="1248" w:type="dxa"/>
            <w:vAlign w:val="center"/>
          </w:tcPr>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明御Web应用防火墙续保服务</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台</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4110" w:type="dxa"/>
            <w:vAlign w:val="center"/>
          </w:tcPr>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现有设备型号：WAF-1000</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对本设备购买12个月运维服务：</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1.产品系统升级授权； </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2.远程支持服务； </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3.产品保修服务；</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4.硬件故障上门支持。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972" w:type="dxa"/>
            <w:vMerge w:val="continue"/>
            <w:vAlign w:val="center"/>
          </w:tcPr>
          <w:p>
            <w:pPr>
              <w:spacing w:line="340" w:lineRule="exact"/>
              <w:jc w:val="center"/>
              <w:rPr>
                <w:rFonts w:ascii="仿宋_GB2312" w:hAnsi="仿宋_GB2312" w:eastAsia="仿宋_GB2312" w:cs="仿宋_GB2312"/>
                <w:szCs w:val="24"/>
              </w:rPr>
            </w:pPr>
          </w:p>
        </w:tc>
        <w:tc>
          <w:tcPr>
            <w:tcW w:w="1248" w:type="dxa"/>
            <w:vAlign w:val="center"/>
          </w:tcPr>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明御安全网关续保服务</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台</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4110" w:type="dxa"/>
            <w:vAlign w:val="center"/>
          </w:tcPr>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现有设备型号：DAS-NGFW860</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对本设备购买12个月运维服务：</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1.产品系统升级授权； </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2.远程支持服务； </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3.产品保修服务；</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4.硬件故障上门支持。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972" w:type="dxa"/>
            <w:vMerge w:val="continue"/>
            <w:vAlign w:val="center"/>
          </w:tcPr>
          <w:p>
            <w:pPr>
              <w:spacing w:line="340" w:lineRule="exact"/>
              <w:jc w:val="center"/>
              <w:rPr>
                <w:rFonts w:ascii="仿宋_GB2312" w:hAnsi="仿宋_GB2312" w:eastAsia="仿宋_GB2312" w:cs="仿宋_GB2312"/>
                <w:szCs w:val="24"/>
              </w:rPr>
            </w:pPr>
          </w:p>
        </w:tc>
        <w:tc>
          <w:tcPr>
            <w:tcW w:w="1248" w:type="dxa"/>
            <w:vAlign w:val="center"/>
          </w:tcPr>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明鉴漏洞</w:t>
            </w:r>
            <w:r>
              <w:rPr>
                <w:rFonts w:ascii="仿宋_GB2312" w:hAnsi="仿宋_GB2312" w:eastAsia="仿宋_GB2312" w:cs="仿宋_GB2312"/>
                <w:szCs w:val="24"/>
              </w:rPr>
              <w:t>扫描系统</w:t>
            </w:r>
            <w:r>
              <w:rPr>
                <w:rFonts w:hint="eastAsia" w:ascii="仿宋_GB2312" w:hAnsi="仿宋_GB2312" w:eastAsia="仿宋_GB2312" w:cs="仿宋_GB2312"/>
                <w:szCs w:val="24"/>
              </w:rPr>
              <w:t>续保服务</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台</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4110" w:type="dxa"/>
            <w:vAlign w:val="center"/>
          </w:tcPr>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现有设备型号：</w:t>
            </w:r>
            <w:r>
              <w:rPr>
                <w:rFonts w:ascii="仿宋_GB2312" w:hAnsi="仿宋_GB2312" w:eastAsia="仿宋_GB2312" w:cs="仿宋_GB2312"/>
                <w:szCs w:val="24"/>
              </w:rPr>
              <w:t>DAS-RAS-H1000</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对本设备购买12个月运维服务：</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1.产品系统升级授权； </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 xml:space="preserve">2.远程支持服务； </w:t>
            </w:r>
          </w:p>
          <w:p>
            <w:pPr>
              <w:spacing w:line="340" w:lineRule="exact"/>
              <w:jc w:val="both"/>
              <w:rPr>
                <w:rFonts w:ascii="仿宋_GB2312" w:hAnsi="仿宋_GB2312" w:eastAsia="仿宋_GB2312" w:cs="仿宋_GB2312"/>
                <w:szCs w:val="24"/>
              </w:rPr>
            </w:pPr>
            <w:r>
              <w:rPr>
                <w:rFonts w:hint="eastAsia" w:ascii="仿宋_GB2312" w:hAnsi="仿宋_GB2312" w:eastAsia="仿宋_GB2312" w:cs="仿宋_GB2312"/>
                <w:szCs w:val="24"/>
              </w:rPr>
              <w:t>3.产品保修服务；</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4.硬件故障上门支持。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52" w:type="dxa"/>
            <w:vMerge w:val="restart"/>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2</w:t>
            </w:r>
          </w:p>
        </w:tc>
        <w:tc>
          <w:tcPr>
            <w:tcW w:w="2220" w:type="dxa"/>
            <w:gridSpan w:val="2"/>
            <w:vMerge w:val="restart"/>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网络安全渗透服务（累计渗透</w:t>
            </w:r>
            <w:r>
              <w:rPr>
                <w:rFonts w:ascii="仿宋_GB2312" w:hAnsi="仿宋_GB2312" w:eastAsia="仿宋_GB2312" w:cs="仿宋_GB2312"/>
                <w:szCs w:val="24"/>
              </w:rPr>
              <w:t>1</w:t>
            </w:r>
            <w:r>
              <w:rPr>
                <w:rFonts w:hint="eastAsia" w:ascii="仿宋_GB2312" w:hAnsi="仿宋_GB2312" w:eastAsia="仿宋_GB2312" w:cs="仿宋_GB2312"/>
                <w:szCs w:val="24"/>
              </w:rPr>
              <w:t>0个重点系统）</w:t>
            </w:r>
          </w:p>
        </w:tc>
        <w:tc>
          <w:tcPr>
            <w:tcW w:w="709" w:type="dxa"/>
            <w:vMerge w:val="restart"/>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项</w:t>
            </w:r>
          </w:p>
        </w:tc>
        <w:tc>
          <w:tcPr>
            <w:tcW w:w="709" w:type="dxa"/>
            <w:vMerge w:val="restart"/>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4110" w:type="dxa"/>
            <w:vMerge w:val="restart"/>
            <w:vAlign w:val="center"/>
          </w:tcPr>
          <w:p>
            <w:pPr>
              <w:spacing w:line="340" w:lineRule="exact"/>
              <w:rPr>
                <w:rFonts w:ascii="仿宋_GB2312" w:hAnsi="仿宋_GB2312" w:eastAsia="仿宋_GB2312" w:cs="仿宋_GB2312"/>
                <w:szCs w:val="24"/>
              </w:rPr>
            </w:pPr>
            <w:bookmarkStart w:id="0" w:name="_Hlk177123976"/>
            <w:r>
              <w:rPr>
                <w:rFonts w:hint="eastAsia" w:ascii="仿宋_GB2312" w:hAnsi="仿宋_GB2312" w:eastAsia="仿宋_GB2312" w:cs="仿宋_GB2312"/>
                <w:szCs w:val="24"/>
              </w:rPr>
              <w:t>安排专业的工程师进行重点系统安全渗透测试，对用户的信息系统进行模拟攻击或入侵，识别测试系统的未知漏洞及安全隐患，并提供专业测试报告和整改建议方案。</w:t>
            </w:r>
          </w:p>
          <w:bookmarkEnd w:id="0"/>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hint="eastAsia" w:ascii="仿宋_GB2312" w:hAnsi="仿宋_GB2312" w:eastAsia="仿宋_GB2312" w:cs="仿宋_GB2312"/>
                <w:szCs w:val="24"/>
              </w:rPr>
              <w:t>.</w:t>
            </w:r>
            <w:r>
              <w:rPr>
                <w:rFonts w:ascii="仿宋_GB2312" w:hAnsi="仿宋_GB2312" w:eastAsia="仿宋_GB2312" w:cs="仿宋_GB2312"/>
                <w:szCs w:val="24"/>
              </w:rPr>
              <w:t>1</w:t>
            </w:r>
            <w:r>
              <w:rPr>
                <w:rFonts w:hint="eastAsia" w:ascii="仿宋_GB2312" w:hAnsi="仿宋_GB2312" w:eastAsia="仿宋_GB2312" w:cs="仿宋_GB2312"/>
                <w:szCs w:val="24"/>
              </w:rPr>
              <w:t>0个业务系统</w:t>
            </w:r>
            <w:r>
              <w:rPr>
                <w:rFonts w:ascii="仿宋_GB2312" w:hAnsi="仿宋_GB2312" w:eastAsia="仿宋_GB2312" w:cs="仿宋_GB2312"/>
                <w:szCs w:val="24"/>
              </w:rPr>
              <w:t>。</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2</w:t>
            </w:r>
            <w:r>
              <w:rPr>
                <w:rFonts w:hint="eastAsia" w:ascii="仿宋_GB2312" w:hAnsi="仿宋_GB2312" w:eastAsia="仿宋_GB2312" w:cs="仿宋_GB2312"/>
                <w:szCs w:val="24"/>
              </w:rPr>
              <w:t>.保证用户信息系统正常运行前提下，模拟黑客攻击行为通过远程或本地方式对信息系统进行非破坏性的入侵测试，查找针对应用程序的各种漏洞，帮助用户理解应用系统当前的安全状况，发现在系统复杂结构中的脆弱链路并针对安全隐患提出解决办法，切实保证信息系统安全。</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3</w:t>
            </w:r>
            <w:r>
              <w:rPr>
                <w:rFonts w:hint="eastAsia" w:ascii="仿宋_GB2312" w:hAnsi="仿宋_GB2312" w:eastAsia="仿宋_GB2312" w:cs="仿宋_GB2312"/>
                <w:szCs w:val="24"/>
              </w:rPr>
              <w:t>.得到用户授权后方可开始实施渗透工作。应确保实施渗透测试的服务人员的工作保密性，签署相关的保密协议，在未经用户允许的情况下，不得将识别的漏洞外泄、传递。实施渗透测试服务后，未经用户方同意，禁止在系统留存后门。</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4</w:t>
            </w:r>
            <w:r>
              <w:rPr>
                <w:rFonts w:hint="eastAsia" w:ascii="仿宋_GB2312" w:hAnsi="仿宋_GB2312" w:eastAsia="仿宋_GB2312" w:cs="仿宋_GB2312"/>
                <w:szCs w:val="24"/>
              </w:rPr>
              <w:t>.渗透测试应至少包括但不限于以下范围的漏洞：WEB业务系统；微信小程序；微信公众号；API。</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5</w:t>
            </w:r>
            <w:r>
              <w:rPr>
                <w:rFonts w:hint="eastAsia" w:ascii="仿宋_GB2312" w:hAnsi="仿宋_GB2312" w:eastAsia="仿宋_GB2312" w:cs="仿宋_GB2312"/>
                <w:szCs w:val="24"/>
              </w:rPr>
              <w:t>.渗透测试内容包括但不限于：信息泄露、信息猜解、认证信息泄露、认证信息猜解、认证功能失效、认证功能滥用、数据猜解、专项漏洞、综合利用、权限篡改、权限缺失、防护功能滥用、防护功能缺失、防护功能失效、业务逻辑篡改、业务功能滥用、业务功能失效。</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6</w:t>
            </w:r>
            <w:r>
              <w:rPr>
                <w:rFonts w:hint="eastAsia" w:ascii="仿宋_GB2312" w:hAnsi="仿宋_GB2312" w:eastAsia="仿宋_GB2312" w:cs="仿宋_GB2312"/>
                <w:szCs w:val="24"/>
              </w:rPr>
              <w:t>.交付材料《渗透测试报告》。</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7.</w:t>
            </w:r>
            <w:r>
              <w:rPr>
                <w:rFonts w:ascii="仿宋_GB2312" w:hAnsi="仿宋_GB2312" w:eastAsia="仿宋_GB2312" w:cs="仿宋_GB2312"/>
                <w:szCs w:val="24"/>
              </w:rPr>
              <w:t>服务期</w:t>
            </w:r>
            <w:r>
              <w:rPr>
                <w:rFonts w:hint="eastAsia" w:ascii="仿宋_GB2312" w:hAnsi="仿宋_GB2312" w:eastAsia="仿宋_GB2312" w:cs="仿宋_GB2312"/>
                <w:szCs w:val="24"/>
              </w:rPr>
              <w:t>1</w:t>
            </w:r>
            <w:r>
              <w:rPr>
                <w:rFonts w:ascii="仿宋_GB2312" w:hAnsi="仿宋_GB2312" w:eastAsia="仿宋_GB2312" w:cs="仿宋_GB2312"/>
                <w:szCs w:val="24"/>
              </w:rPr>
              <w:t>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2220" w:type="dxa"/>
            <w:gridSpan w:val="2"/>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4110" w:type="dxa"/>
            <w:vMerge w:val="continue"/>
            <w:vAlign w:val="center"/>
          </w:tcPr>
          <w:p>
            <w:pPr>
              <w:spacing w:line="340" w:lineRule="exact"/>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2220" w:type="dxa"/>
            <w:gridSpan w:val="2"/>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4110" w:type="dxa"/>
            <w:vMerge w:val="continue"/>
            <w:vAlign w:val="center"/>
          </w:tcPr>
          <w:p>
            <w:pPr>
              <w:spacing w:line="340" w:lineRule="exact"/>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2220" w:type="dxa"/>
            <w:gridSpan w:val="2"/>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4110" w:type="dxa"/>
            <w:vMerge w:val="continue"/>
            <w:vAlign w:val="center"/>
          </w:tcPr>
          <w:p>
            <w:pPr>
              <w:spacing w:line="340" w:lineRule="exact"/>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2220" w:type="dxa"/>
            <w:gridSpan w:val="2"/>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4110" w:type="dxa"/>
            <w:vMerge w:val="continue"/>
            <w:vAlign w:val="center"/>
          </w:tcPr>
          <w:p>
            <w:pPr>
              <w:spacing w:line="340" w:lineRule="exact"/>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2220" w:type="dxa"/>
            <w:gridSpan w:val="2"/>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4110" w:type="dxa"/>
            <w:vMerge w:val="continue"/>
            <w:vAlign w:val="center"/>
          </w:tcPr>
          <w:p>
            <w:pPr>
              <w:spacing w:line="340" w:lineRule="exact"/>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52" w:type="dxa"/>
            <w:vMerge w:val="continue"/>
            <w:vAlign w:val="center"/>
          </w:tcPr>
          <w:p>
            <w:pPr>
              <w:spacing w:line="340" w:lineRule="exact"/>
              <w:jc w:val="center"/>
              <w:rPr>
                <w:rFonts w:ascii="仿宋_GB2312" w:hAnsi="仿宋_GB2312" w:eastAsia="仿宋_GB2312" w:cs="仿宋_GB2312"/>
                <w:szCs w:val="24"/>
              </w:rPr>
            </w:pPr>
          </w:p>
        </w:tc>
        <w:tc>
          <w:tcPr>
            <w:tcW w:w="2220" w:type="dxa"/>
            <w:gridSpan w:val="2"/>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709" w:type="dxa"/>
            <w:vMerge w:val="continue"/>
            <w:vAlign w:val="center"/>
          </w:tcPr>
          <w:p>
            <w:pPr>
              <w:spacing w:line="340" w:lineRule="exact"/>
              <w:jc w:val="center"/>
              <w:rPr>
                <w:rFonts w:ascii="仿宋_GB2312" w:hAnsi="仿宋_GB2312" w:eastAsia="仿宋_GB2312" w:cs="仿宋_GB2312"/>
                <w:szCs w:val="24"/>
              </w:rPr>
            </w:pPr>
          </w:p>
        </w:tc>
        <w:tc>
          <w:tcPr>
            <w:tcW w:w="4110" w:type="dxa"/>
            <w:vMerge w:val="continue"/>
            <w:vAlign w:val="center"/>
          </w:tcPr>
          <w:p>
            <w:pPr>
              <w:spacing w:line="340" w:lineRule="exact"/>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752"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3</w:t>
            </w:r>
          </w:p>
        </w:tc>
        <w:tc>
          <w:tcPr>
            <w:tcW w:w="2220" w:type="dxa"/>
            <w:gridSpan w:val="2"/>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区中心机房</w:t>
            </w:r>
            <w:bookmarkStart w:id="1" w:name="OLE_LINK4"/>
            <w:bookmarkStart w:id="2" w:name="OLE_LINK3"/>
            <w:r>
              <w:rPr>
                <w:rFonts w:hint="eastAsia" w:ascii="仿宋_GB2312" w:hAnsi="仿宋_GB2312" w:eastAsia="仿宋_GB2312" w:cs="仿宋_GB2312"/>
                <w:szCs w:val="24"/>
              </w:rPr>
              <w:t>电子政务外网网络安全等级保护（等保）二级测评服务</w:t>
            </w:r>
            <w:bookmarkEnd w:id="1"/>
            <w:bookmarkEnd w:id="2"/>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项</w:t>
            </w:r>
          </w:p>
        </w:tc>
        <w:tc>
          <w:tcPr>
            <w:tcW w:w="709" w:type="dxa"/>
            <w:vAlign w:val="center"/>
          </w:tcPr>
          <w:p>
            <w:pPr>
              <w:spacing w:line="34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4110" w:type="dxa"/>
            <w:vAlign w:val="center"/>
          </w:tcPr>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rPr>
              <w:t>等级保护测评服务需严格按照GB/T28448-2019《信息安全技术网络安全等级保护测评要求》的质量标准开展。应根据网络安全测评特点和要求，提供网络安全等级测评实施文档，包括网络安全等级测评方案模板、各类指标记录表、网络安全等级测评结果分析报告模板及网络安全整改建议模板。按照等级保护2.0相关标准的要求：</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1.</w:t>
            </w:r>
            <w:r>
              <w:rPr>
                <w:rFonts w:hint="eastAsia" w:ascii="仿宋_GB2312" w:hAnsi="仿宋_GB2312" w:eastAsia="仿宋_GB2312" w:cs="仿宋_GB2312"/>
                <w:szCs w:val="24"/>
              </w:rPr>
              <w:t>差距测评，按照系统确定的保护级别，依据等保测评要求对信息系统存在的安全漏洞及风险威胁进行综合测评。测评完成后出具差距测评报告，作为下一步开展系统安全整改的主要依据。</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2.</w:t>
            </w:r>
            <w:r>
              <w:rPr>
                <w:rFonts w:hint="eastAsia" w:ascii="仿宋_GB2312" w:hAnsi="仿宋_GB2312" w:eastAsia="仿宋_GB2312" w:cs="仿宋_GB2312"/>
                <w:szCs w:val="24"/>
              </w:rPr>
              <w:t>验收测评，在信息系统完成安全整改的基础上，对照安全整改报告，依据信息系统对应安全等级保护的相关标准，对系统安全性进行复评复测，并对达到等保安全标准的系统出具网络安全等级测评报告。</w:t>
            </w:r>
          </w:p>
          <w:p>
            <w:pPr>
              <w:spacing w:line="340" w:lineRule="exact"/>
              <w:rPr>
                <w:rFonts w:ascii="仿宋_GB2312" w:hAnsi="仿宋_GB2312" w:eastAsia="仿宋_GB2312" w:cs="仿宋_GB2312"/>
                <w:szCs w:val="24"/>
              </w:rPr>
            </w:pPr>
            <w:r>
              <w:rPr>
                <w:rFonts w:hint="eastAsia" w:ascii="仿宋_GB2312" w:hAnsi="仿宋_GB2312" w:eastAsia="仿宋_GB2312" w:cs="仿宋_GB2312"/>
                <w:szCs w:val="24"/>
                <w:lang w:val="en-US" w:eastAsia="zh-CN"/>
              </w:rPr>
              <w:t>3.</w:t>
            </w:r>
            <w:r>
              <w:rPr>
                <w:rFonts w:ascii="仿宋_GB2312" w:hAnsi="仿宋_GB2312" w:eastAsia="仿宋_GB2312" w:cs="仿宋_GB2312"/>
                <w:szCs w:val="24"/>
              </w:rPr>
              <w:t>服务期</w:t>
            </w:r>
            <w:r>
              <w:rPr>
                <w:rFonts w:hint="eastAsia" w:ascii="仿宋_GB2312" w:hAnsi="仿宋_GB2312" w:eastAsia="仿宋_GB2312" w:cs="仿宋_GB2312"/>
                <w:szCs w:val="24"/>
              </w:rPr>
              <w:t>1</w:t>
            </w:r>
            <w:r>
              <w:rPr>
                <w:rFonts w:ascii="仿宋_GB2312" w:hAnsi="仿宋_GB2312" w:eastAsia="仿宋_GB2312" w:cs="仿宋_GB2312"/>
                <w:szCs w:val="24"/>
              </w:rPr>
              <w:t>2个月。</w:t>
            </w:r>
          </w:p>
        </w:tc>
      </w:tr>
    </w:tbl>
    <w:p/>
    <w:p>
      <w:pPr>
        <w:pStyle w:val="2"/>
        <w:spacing w:before="0" w:after="0" w:line="576"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二、服务商资格要求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投标人应具备《中华人民共和国政府采购法》第二十二条规定的条件，提供下列材料：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具有合法经营资格的法人或者其他组织，具有良好的信誉；</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具备本项目</w:t>
      </w:r>
      <w:r>
        <w:rPr>
          <w:rFonts w:hint="eastAsia" w:ascii="仿宋_GB2312" w:eastAsia="仿宋_GB2312" w:cs="宋体" w:hAnsiTheme="minorEastAsia"/>
          <w:sz w:val="32"/>
          <w:szCs w:val="32"/>
        </w:rPr>
        <w:t>提供服务</w:t>
      </w:r>
      <w:r>
        <w:rPr>
          <w:rFonts w:hint="eastAsia" w:ascii="仿宋_GB2312" w:hAnsi="仿宋_GB2312" w:eastAsia="仿宋_GB2312" w:cs="仿宋_GB2312"/>
          <w:bCs/>
          <w:sz w:val="32"/>
          <w:szCs w:val="32"/>
        </w:rPr>
        <w:t>履</w:t>
      </w:r>
      <w:r>
        <w:rPr>
          <w:rFonts w:hint="eastAsia" w:ascii="仿宋_GB2312" w:hAnsi="仿宋_GB2312" w:eastAsia="仿宋_GB2312" w:cs="仿宋_GB2312"/>
          <w:sz w:val="32"/>
          <w:szCs w:val="32"/>
        </w:rPr>
        <w:t>约的专业技术和</w:t>
      </w:r>
      <w:r>
        <w:rPr>
          <w:rFonts w:hint="eastAsia" w:ascii="仿宋_GB2312" w:hAnsi="仿宋_GB2312" w:eastAsia="仿宋_GB2312" w:cs="仿宋_GB2312"/>
          <w:bCs/>
          <w:sz w:val="32"/>
          <w:szCs w:val="32"/>
        </w:rPr>
        <w:t>能力；</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供应商未被列入“信用中国” 网站(www.creditchina.gov.cn)“记录失信被执行人或重大税收违法案件当事人名单或政府采购严重违法失信行为”记录名单；不处于中国政府采购网(www.ccgp.gov.cn)“政府采购严重违法失信行为信息记录” 中的禁 止参加政府采购活动期间。（以资格审查人员于投标（响应）截止时间当天在“信用中国” 网站（www.creditchina.gov.cn） 及中国政府采购网（http://www.ccgp.gov.cn/）查询结果为准，如相关失信记录已失效，供应商需提供相关证明资料）</w:t>
      </w:r>
      <w:r>
        <w:rPr>
          <w:rFonts w:hint="eastAsia" w:ascii="仿宋_GB2312" w:hAnsi="仿宋_GB2312" w:eastAsia="仿宋_GB2312" w:cs="仿宋_GB2312"/>
          <w:bCs/>
          <w:sz w:val="32"/>
          <w:szCs w:val="32"/>
        </w:rPr>
        <w:t>；</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5、单位负责人为同一人或者存在直接控股、管理关系的不同供应商，不得参加同一合同项下的政府采购活动；</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6、本项目不接受联合体参与投标。</w:t>
      </w:r>
    </w:p>
    <w:p>
      <w:pPr>
        <w:pStyle w:val="2"/>
        <w:spacing w:before="0" w:after="0" w:line="576"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三、保密条款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供应商须承诺严格遵守国家关于保密（包括私隐）方面的所有法律法规，对涉及蓬江区政府机关的数据及资料保密，加强对相关人员的信息安全及保密宣传、培训及管理。所有服务期间内，可能或必须知道的用户书面资料或其他拷贝，必须在维修完成后交用户验收及统一管理，不得保留书面或其他形式的拷贝，并对已知的数据、资料保密。</w:t>
      </w:r>
    </w:p>
    <w:p>
      <w:pPr>
        <w:pStyle w:val="2"/>
        <w:spacing w:before="0" w:after="0" w:line="576"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四、结算方式</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1.委托方以项目打包的方式向供应商购买服务，本次项目的服务费预算金额：¥</w:t>
      </w:r>
      <w:r>
        <w:rPr>
          <w:rFonts w:ascii="仿宋_GB2312" w:hAnsi="仿宋_GB2312" w:eastAsia="仿宋_GB2312" w:cs="仿宋_GB2312"/>
          <w:kern w:val="0"/>
          <w:sz w:val="32"/>
          <w:szCs w:val="32"/>
        </w:rPr>
        <w:t>360</w:t>
      </w:r>
      <w:r>
        <w:rPr>
          <w:rFonts w:hint="eastAsia" w:ascii="仿宋_GB2312" w:hAnsi="仿宋_GB2312" w:eastAsia="仿宋_GB2312" w:cs="仿宋_GB2312"/>
          <w:kern w:val="0"/>
          <w:sz w:val="32"/>
          <w:szCs w:val="32"/>
          <w:lang w:val="en-US" w:eastAsia="zh-CN"/>
        </w:rPr>
        <w:t>,</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00.00</w:t>
      </w:r>
      <w:r>
        <w:rPr>
          <w:rFonts w:hint="eastAsia" w:ascii="仿宋_GB2312" w:hAnsi="仿宋_GB2312" w:eastAsia="仿宋_GB2312" w:cs="仿宋_GB2312"/>
          <w:color w:val="000000"/>
          <w:sz w:val="32"/>
          <w:szCs w:val="32"/>
        </w:rPr>
        <w:t>元，大写：人民币叁拾陆万整，超过预算金额报价无效。</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2.预算金额为本次项目总金额，合同期内委托方将不以任何形式支付附加工作酬金。</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3.付款方式：</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一期款：</w:t>
      </w:r>
      <w:r>
        <w:rPr>
          <w:rFonts w:hint="eastAsia" w:ascii="仿宋_GB2312" w:hAnsi="仿宋_GB2312" w:eastAsia="仿宋_GB2312" w:cs="仿宋_GB2312"/>
          <w:sz w:val="32"/>
          <w:szCs w:val="32"/>
        </w:rPr>
        <w:t>项目合同签订</w:t>
      </w:r>
      <w:bookmarkStart w:id="3" w:name="OLE_LINK1"/>
      <w:bookmarkStart w:id="4" w:name="OLE_LINK2"/>
      <w:r>
        <w:rPr>
          <w:rFonts w:hint="eastAsia" w:ascii="仿宋_GB2312" w:hAnsi="仿宋_GB2312" w:eastAsia="仿宋_GB2312" w:cs="仿宋_GB2312"/>
          <w:sz w:val="32"/>
          <w:szCs w:val="32"/>
        </w:rPr>
        <w:t>生效</w:t>
      </w:r>
      <w:bookmarkEnd w:id="3"/>
      <w:bookmarkEnd w:id="4"/>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0个工作日</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，乙方向甲方提供符合国家财务规定的发票，甲方向乙方支付本项目合同总金额的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0%作为首期款</w:t>
      </w:r>
      <w:r>
        <w:rPr>
          <w:rFonts w:hint="eastAsia" w:ascii="仿宋_GB2312" w:hAnsi="仿宋_GB2312" w:eastAsia="仿宋_GB2312" w:cs="仿宋_GB2312"/>
          <w:color w:val="000000"/>
          <w:sz w:val="32"/>
          <w:szCs w:val="32"/>
        </w:rPr>
        <w:t>；</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二期款：</w:t>
      </w:r>
      <w:r>
        <w:rPr>
          <w:rFonts w:hint="eastAsia" w:ascii="仿宋_GB2312" w:hAnsi="仿宋_GB2312" w:eastAsia="仿宋_GB2312" w:cs="仿宋_GB2312"/>
          <w:sz w:val="32"/>
          <w:szCs w:val="32"/>
        </w:rPr>
        <w:t>项目合同签订生效</w:t>
      </w:r>
      <w:r>
        <w:rPr>
          <w:rFonts w:hint="eastAsia" w:ascii="仿宋_GB2312" w:hAnsi="仿宋_GB2312" w:eastAsia="仿宋_GB2312" w:cs="仿宋_GB2312"/>
          <w:color w:val="000000"/>
          <w:sz w:val="32"/>
          <w:szCs w:val="32"/>
        </w:rPr>
        <w:t>第七个月</w:t>
      </w:r>
      <w:r>
        <w:rPr>
          <w:rFonts w:hint="eastAsia" w:ascii="仿宋_GB2312" w:hAnsi="仿宋_GB2312" w:eastAsia="仿宋_GB2312" w:cs="仿宋_GB2312"/>
          <w:color w:val="000000"/>
          <w:sz w:val="32"/>
          <w:szCs w:val="32"/>
          <w:lang w:eastAsia="zh-CN"/>
        </w:rPr>
        <w:t>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乙方向甲方提供符合国家财务规定的发票，甲方向乙方支付本项目合同总金额的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三期款：</w:t>
      </w:r>
      <w:r>
        <w:rPr>
          <w:rFonts w:hint="eastAsia" w:ascii="仿宋_GB2312" w:hAnsi="仿宋_GB2312" w:eastAsia="仿宋_GB2312" w:cs="仿宋_GB2312"/>
          <w:sz w:val="32"/>
          <w:szCs w:val="32"/>
        </w:rPr>
        <w:t>项目</w:t>
      </w:r>
      <w:r>
        <w:rPr>
          <w:rFonts w:hint="eastAsia" w:ascii="仿宋_GB2312" w:hAnsi="仿宋_GB2312" w:eastAsia="仿宋_GB2312" w:cs="仿宋_GB2312"/>
          <w:color w:val="000000"/>
          <w:sz w:val="32"/>
          <w:szCs w:val="32"/>
        </w:rPr>
        <w:t>结束验收合格</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乙方向甲方提供符合国家财务规定的发票，甲方支付项目合同总金额的余下款项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sz w:val="32"/>
          <w:szCs w:val="32"/>
        </w:rPr>
        <w:t>。</w:t>
      </w:r>
    </w:p>
    <w:p>
      <w:pPr>
        <w:pStyle w:val="2"/>
        <w:spacing w:before="0" w:after="0" w:line="576"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五、违约责任</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供应商存在以下违约行为则终止协议，赔付委托方全部项目支付资金：1.不接受委托方的监管；2.不定期向委托方汇报工作情况；3.服务质量不合格；4.工作成果不合格。</w:t>
      </w:r>
    </w:p>
    <w:p>
      <w:pPr>
        <w:pStyle w:val="2"/>
        <w:spacing w:before="0" w:after="0" w:line="576"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六、选定原则与中标方法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本项目按能够最大限度地满足采购需求文件中规定的各项综合标准的原则及服务质量，综合评分优选供应商。优选因素包括如下：</w:t>
      </w:r>
    </w:p>
    <w:p>
      <w:pPr>
        <w:spacing w:line="576" w:lineRule="exact"/>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1.具有有效期内计算机信息系统安全服务等级认证资格；</w:t>
      </w:r>
    </w:p>
    <w:p>
      <w:pPr>
        <w:spacing w:line="576" w:lineRule="exact"/>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2.具有机关单位安全服务项目案例；</w:t>
      </w:r>
    </w:p>
    <w:p>
      <w:pPr>
        <w:spacing w:line="576" w:lineRule="exact"/>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.在江门市内需设有固定的售后服务机构；</w:t>
      </w:r>
    </w:p>
    <w:p>
      <w:pPr>
        <w:spacing w:line="576" w:lineRule="exact"/>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.服务管理团队具备中级或以上信息安全工程师；</w:t>
      </w:r>
    </w:p>
    <w:p>
      <w:pPr>
        <w:spacing w:line="576" w:lineRule="exact"/>
        <w:ind w:firstLine="640" w:firstLineChars="200"/>
        <w:rPr>
          <w:rFonts w:ascii="仿宋_GB2312" w:hAnsi="仿宋_GB2312" w:eastAsia="仿宋_GB2312" w:cs="仿宋_GB2312"/>
          <w:sz w:val="32"/>
          <w:szCs w:val="32"/>
        </w:rPr>
      </w:pPr>
    </w:p>
    <w:sectPr>
      <w:footerReference r:id="rId5" w:type="default"/>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FangSong">
    <w:panose1 w:val="02010609060101010101"/>
    <w:charset w:val="86"/>
    <w:family w:val="roma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65"/>
    <w:rsid w:val="00046148"/>
    <w:rsid w:val="001064B8"/>
    <w:rsid w:val="001F3C10"/>
    <w:rsid w:val="00227BEB"/>
    <w:rsid w:val="00270C50"/>
    <w:rsid w:val="00296A04"/>
    <w:rsid w:val="002A3DD5"/>
    <w:rsid w:val="002A4092"/>
    <w:rsid w:val="003044A4"/>
    <w:rsid w:val="003B14C9"/>
    <w:rsid w:val="004412AA"/>
    <w:rsid w:val="00486EB3"/>
    <w:rsid w:val="004B3B65"/>
    <w:rsid w:val="004C7F91"/>
    <w:rsid w:val="004E6374"/>
    <w:rsid w:val="004E6BD0"/>
    <w:rsid w:val="00522E7A"/>
    <w:rsid w:val="00550EFB"/>
    <w:rsid w:val="00554FF2"/>
    <w:rsid w:val="005901D9"/>
    <w:rsid w:val="005A2425"/>
    <w:rsid w:val="005F286F"/>
    <w:rsid w:val="00643D4C"/>
    <w:rsid w:val="006819DB"/>
    <w:rsid w:val="006E5B46"/>
    <w:rsid w:val="006F0F81"/>
    <w:rsid w:val="007216ED"/>
    <w:rsid w:val="00762B7F"/>
    <w:rsid w:val="007C1055"/>
    <w:rsid w:val="007D657A"/>
    <w:rsid w:val="00827F87"/>
    <w:rsid w:val="0083714A"/>
    <w:rsid w:val="00843E49"/>
    <w:rsid w:val="00862C54"/>
    <w:rsid w:val="008A722E"/>
    <w:rsid w:val="00904306"/>
    <w:rsid w:val="009C255F"/>
    <w:rsid w:val="00A23620"/>
    <w:rsid w:val="00A5018A"/>
    <w:rsid w:val="00A71A63"/>
    <w:rsid w:val="00B34B44"/>
    <w:rsid w:val="00C730F3"/>
    <w:rsid w:val="00C803A3"/>
    <w:rsid w:val="00CA1898"/>
    <w:rsid w:val="00CD1462"/>
    <w:rsid w:val="00D3323C"/>
    <w:rsid w:val="00D45376"/>
    <w:rsid w:val="00D45D07"/>
    <w:rsid w:val="00DA68E0"/>
    <w:rsid w:val="00DD5EA5"/>
    <w:rsid w:val="00E029CF"/>
    <w:rsid w:val="00E50883"/>
    <w:rsid w:val="00E81DB1"/>
    <w:rsid w:val="00EB5F4D"/>
    <w:rsid w:val="00F0448E"/>
    <w:rsid w:val="00F27DB7"/>
    <w:rsid w:val="00F408A3"/>
    <w:rsid w:val="00F408BF"/>
    <w:rsid w:val="00F62D29"/>
    <w:rsid w:val="00F64BBF"/>
    <w:rsid w:val="00F66471"/>
    <w:rsid w:val="00F67E41"/>
    <w:rsid w:val="00F81291"/>
    <w:rsid w:val="00FF6DF1"/>
    <w:rsid w:val="07C9077A"/>
    <w:rsid w:val="0F9F631B"/>
    <w:rsid w:val="1BBC975E"/>
    <w:rsid w:val="1FD34DAA"/>
    <w:rsid w:val="25DF5BC0"/>
    <w:rsid w:val="28FF658B"/>
    <w:rsid w:val="2FBCB6F0"/>
    <w:rsid w:val="36F79250"/>
    <w:rsid w:val="377F7E98"/>
    <w:rsid w:val="37D08A8D"/>
    <w:rsid w:val="3DED6466"/>
    <w:rsid w:val="3DFA6F02"/>
    <w:rsid w:val="3F372306"/>
    <w:rsid w:val="3FD7DFD1"/>
    <w:rsid w:val="4FBD0972"/>
    <w:rsid w:val="4FFF8BBE"/>
    <w:rsid w:val="539C6054"/>
    <w:rsid w:val="597F072F"/>
    <w:rsid w:val="59ED18B8"/>
    <w:rsid w:val="5DFF906A"/>
    <w:rsid w:val="5E3AC4E4"/>
    <w:rsid w:val="5EFB77E2"/>
    <w:rsid w:val="5FEF1DDE"/>
    <w:rsid w:val="5FEF37B5"/>
    <w:rsid w:val="6A7BD27F"/>
    <w:rsid w:val="6E76FBF5"/>
    <w:rsid w:val="6ED78243"/>
    <w:rsid w:val="6F7F80A0"/>
    <w:rsid w:val="6F94220E"/>
    <w:rsid w:val="6FEF2DF1"/>
    <w:rsid w:val="6FF8EA07"/>
    <w:rsid w:val="738D66E6"/>
    <w:rsid w:val="73FB6130"/>
    <w:rsid w:val="77BBDBC3"/>
    <w:rsid w:val="77DCD2BF"/>
    <w:rsid w:val="77E12524"/>
    <w:rsid w:val="77E78820"/>
    <w:rsid w:val="77EF3376"/>
    <w:rsid w:val="79C7AD11"/>
    <w:rsid w:val="7ABEC5BE"/>
    <w:rsid w:val="7ABF7740"/>
    <w:rsid w:val="7ADD0A5B"/>
    <w:rsid w:val="7B490F98"/>
    <w:rsid w:val="7B7E1A21"/>
    <w:rsid w:val="7B965384"/>
    <w:rsid w:val="7BCA7064"/>
    <w:rsid w:val="7CDDA5AD"/>
    <w:rsid w:val="7D059F83"/>
    <w:rsid w:val="7DCCEBA6"/>
    <w:rsid w:val="7EF75A93"/>
    <w:rsid w:val="7F4B14A1"/>
    <w:rsid w:val="7F6F70B3"/>
    <w:rsid w:val="7F7F13F9"/>
    <w:rsid w:val="7F9EEF8D"/>
    <w:rsid w:val="7FE8F3C7"/>
    <w:rsid w:val="7FF2D827"/>
    <w:rsid w:val="7FFB4CA5"/>
    <w:rsid w:val="7FFC46A2"/>
    <w:rsid w:val="7FFFC0F0"/>
    <w:rsid w:val="86CF52A1"/>
    <w:rsid w:val="91FD4CC1"/>
    <w:rsid w:val="95ABD0EE"/>
    <w:rsid w:val="97FF4145"/>
    <w:rsid w:val="97FF41AF"/>
    <w:rsid w:val="ACBA0B42"/>
    <w:rsid w:val="AEFF914C"/>
    <w:rsid w:val="AF7EE954"/>
    <w:rsid w:val="AFE180DE"/>
    <w:rsid w:val="B0BA9B27"/>
    <w:rsid w:val="B5FDF68C"/>
    <w:rsid w:val="B697015D"/>
    <w:rsid w:val="BBDEC8A1"/>
    <w:rsid w:val="BCB91D32"/>
    <w:rsid w:val="BDF88536"/>
    <w:rsid w:val="BE5F8847"/>
    <w:rsid w:val="BEF9F1D4"/>
    <w:rsid w:val="BFFC3CD2"/>
    <w:rsid w:val="C1EE6295"/>
    <w:rsid w:val="CF4DB3FB"/>
    <w:rsid w:val="CFBFDDE0"/>
    <w:rsid w:val="CFEB8332"/>
    <w:rsid w:val="CFFF16EB"/>
    <w:rsid w:val="CFFF45EA"/>
    <w:rsid w:val="D6EF4ED3"/>
    <w:rsid w:val="D9FB623A"/>
    <w:rsid w:val="DC5F1BF2"/>
    <w:rsid w:val="DC9C9C2E"/>
    <w:rsid w:val="DCFF6FBC"/>
    <w:rsid w:val="DD254EA7"/>
    <w:rsid w:val="DDBB0D0F"/>
    <w:rsid w:val="DF1FF456"/>
    <w:rsid w:val="DF468630"/>
    <w:rsid w:val="DF7E0B64"/>
    <w:rsid w:val="DF95BB1C"/>
    <w:rsid w:val="DFD99622"/>
    <w:rsid w:val="DFDFCF75"/>
    <w:rsid w:val="DFFFC275"/>
    <w:rsid w:val="E6FD9016"/>
    <w:rsid w:val="E7BF7D40"/>
    <w:rsid w:val="EAFB59F2"/>
    <w:rsid w:val="EEC4D433"/>
    <w:rsid w:val="EF73BA5D"/>
    <w:rsid w:val="EFA71FD5"/>
    <w:rsid w:val="F29F4D59"/>
    <w:rsid w:val="F6BE4315"/>
    <w:rsid w:val="F6DF52AF"/>
    <w:rsid w:val="F7BC390C"/>
    <w:rsid w:val="F9EEC320"/>
    <w:rsid w:val="FBCB422D"/>
    <w:rsid w:val="FBEB49E8"/>
    <w:rsid w:val="FDFD056C"/>
    <w:rsid w:val="FDFD8B84"/>
    <w:rsid w:val="FDFFAA90"/>
    <w:rsid w:val="FE3EE52A"/>
    <w:rsid w:val="FEFD42C9"/>
    <w:rsid w:val="FF15F313"/>
    <w:rsid w:val="FF276C67"/>
    <w:rsid w:val="FF63B126"/>
    <w:rsid w:val="FF67D50C"/>
    <w:rsid w:val="FF7848C3"/>
    <w:rsid w:val="FFBA3577"/>
    <w:rsid w:val="FFBDDFB2"/>
    <w:rsid w:val="FFBE14A5"/>
    <w:rsid w:val="FFD5A777"/>
    <w:rsid w:val="FFD7A0A4"/>
    <w:rsid w:val="FFE74F92"/>
    <w:rsid w:val="FFF57D89"/>
    <w:rsid w:val="FFFF2232"/>
    <w:rsid w:val="FFFF2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4"/>
      <w:szCs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semiHidden/>
    <w:qFormat/>
    <w:uiPriority w:val="0"/>
    <w:pPr>
      <w:kinsoku w:val="0"/>
      <w:autoSpaceDE w:val="0"/>
      <w:autoSpaceDN w:val="0"/>
      <w:adjustRightInd w:val="0"/>
      <w:snapToGrid w:val="0"/>
      <w:spacing w:line="240" w:lineRule="auto"/>
      <w:textAlignment w:val="baseline"/>
    </w:pPr>
    <w:rPr>
      <w:rFonts w:ascii="FangSong" w:hAnsi="FangSong" w:eastAsia="FangSong" w:cs="FangSong"/>
      <w:snapToGrid w:val="0"/>
      <w:color w:val="000000"/>
      <w:kern w:val="0"/>
      <w:sz w:val="31"/>
      <w:szCs w:val="31"/>
      <w:lang w:eastAsia="en-US"/>
    </w:rPr>
  </w:style>
  <w:style w:type="paragraph" w:styleId="5">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kinsoku w:val="0"/>
      <w:autoSpaceDE w:val="0"/>
      <w:autoSpaceDN w:val="0"/>
      <w:adjustRightInd w:val="0"/>
      <w:snapToGrid w:val="0"/>
      <w:spacing w:line="240" w:lineRule="auto"/>
      <w:jc w:val="center"/>
      <w:textAlignment w:val="baseline"/>
    </w:pPr>
    <w:rPr>
      <w:rFonts w:ascii="Arial" w:hAnsi="Arial" w:cs="Arial" w:eastAsiaTheme="minorEastAsia"/>
      <w:snapToGrid w:val="0"/>
      <w:color w:val="000000"/>
      <w:kern w:val="0"/>
      <w:sz w:val="18"/>
      <w:szCs w:val="18"/>
      <w:lang w:eastAsia="en-U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1 字符"/>
    <w:basedOn w:val="9"/>
    <w:link w:val="2"/>
    <w:qFormat/>
    <w:uiPriority w:val="9"/>
    <w:rPr>
      <w:rFonts w:ascii="Times New Roman" w:hAnsi="Times New Roman" w:eastAsia="宋体" w:cs="Times New Roman"/>
      <w:b/>
      <w:bCs/>
      <w:kern w:val="44"/>
      <w:sz w:val="44"/>
      <w:szCs w:val="44"/>
    </w:rPr>
  </w:style>
  <w:style w:type="character" w:customStyle="1" w:styleId="12">
    <w:name w:val="标题 2 字符"/>
    <w:basedOn w:val="9"/>
    <w:link w:val="3"/>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character" w:customStyle="1" w:styleId="14">
    <w:name w:val="正文文本 字符"/>
    <w:basedOn w:val="9"/>
    <w:link w:val="4"/>
    <w:semiHidden/>
    <w:qFormat/>
    <w:uiPriority w:val="0"/>
    <w:rPr>
      <w:rFonts w:ascii="FangSong" w:hAnsi="FangSong" w:eastAsia="FangSong" w:cs="FangSong"/>
      <w:snapToGrid w:val="0"/>
      <w:color w:val="000000"/>
      <w:kern w:val="0"/>
      <w:sz w:val="31"/>
      <w:szCs w:val="31"/>
      <w:lang w:eastAsia="en-US"/>
    </w:rPr>
  </w:style>
  <w:style w:type="character" w:customStyle="1" w:styleId="15">
    <w:name w:val="页眉 字符"/>
    <w:basedOn w:val="9"/>
    <w:link w:val="6"/>
    <w:qFormat/>
    <w:uiPriority w:val="99"/>
    <w:rPr>
      <w:rFonts w:ascii="Arial" w:hAnsi="Arial" w:cs="Arial"/>
      <w:snapToGrid w:val="0"/>
      <w:color w:val="000000"/>
      <w:kern w:val="0"/>
      <w:sz w:val="18"/>
      <w:szCs w:val="18"/>
      <w:lang w:eastAsia="en-US"/>
    </w:rPr>
  </w:style>
  <w:style w:type="character" w:customStyle="1" w:styleId="16">
    <w:name w:val="页脚 字符"/>
    <w:basedOn w:val="9"/>
    <w:link w:val="5"/>
    <w:qFormat/>
    <w:uiPriority w:val="99"/>
    <w:rPr>
      <w:rFonts w:ascii="Times New Roman" w:hAnsi="Times New Roman" w:eastAsia="宋体" w:cs="Times New Roman"/>
      <w:sz w:val="18"/>
      <w:szCs w:val="18"/>
    </w:rPr>
  </w:style>
  <w:style w:type="character" w:customStyle="1" w:styleId="17">
    <w:name w:val="消息标题标签"/>
    <w:qFormat/>
    <w:uiPriority w:val="0"/>
    <w:rPr>
      <w:rFonts w:ascii="Arial" w:hAnsi="Arial"/>
      <w:b/>
      <w:spacing w:val="-4"/>
      <w:sz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619</Words>
  <Characters>3534</Characters>
  <Lines>29</Lines>
  <Paragraphs>8</Paragraphs>
  <TotalTime>0</TotalTime>
  <ScaleCrop>false</ScaleCrop>
  <LinksUpToDate>false</LinksUpToDate>
  <CharactersWithSpaces>4145</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2025-12-13T10:24:00Z</dcterms:created>
  <dc:creator>admin</dc:creator>
  <cp:lastModifiedBy>greatwall</cp:lastModifiedBy>
  <dcterms:modified xsi:type="dcterms:W3CDTF">2025-12-22T15:31:28Z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AAE50278D92F801ED0F34869E5BB7B87</vt:lpwstr>
  </property>
</Properties>
</file>