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813"/>
        <w:gridCol w:w="3260"/>
        <w:gridCol w:w="1841"/>
        <w:gridCol w:w="1702"/>
        <w:gridCol w:w="2411"/>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294" w:type="pct"/>
            <w:vMerge w:val="restart"/>
            <w:vAlign w:val="center"/>
          </w:tcPr>
          <w:p>
            <w:pPr>
              <w:spacing w:line="280" w:lineRule="exact"/>
              <w:ind w:left="-111" w:leftChars="-53" w:right="-84" w:rightChars="-40" w:firstLine="12" w:firstLineChars="5"/>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序号</w:t>
            </w:r>
          </w:p>
        </w:tc>
        <w:tc>
          <w:tcPr>
            <w:tcW w:w="993" w:type="pct"/>
            <w:vMerge w:val="restart"/>
            <w:vAlign w:val="center"/>
          </w:tcPr>
          <w:p>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企业名称</w:t>
            </w:r>
          </w:p>
        </w:tc>
        <w:tc>
          <w:tcPr>
            <w:tcW w:w="1151" w:type="pct"/>
            <w:vMerge w:val="restart"/>
            <w:vAlign w:val="center"/>
          </w:tcPr>
          <w:p>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项目名称</w:t>
            </w:r>
          </w:p>
        </w:tc>
        <w:tc>
          <w:tcPr>
            <w:tcW w:w="650" w:type="pct"/>
            <w:vMerge w:val="restart"/>
            <w:vAlign w:val="center"/>
          </w:tcPr>
          <w:p>
            <w:pPr>
              <w:spacing w:line="280" w:lineRule="exact"/>
              <w:ind w:left="-65" w:leftChars="-31"/>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本项目属性</w:t>
            </w:r>
          </w:p>
        </w:tc>
        <w:tc>
          <w:tcPr>
            <w:tcW w:w="601" w:type="pct"/>
            <w:vMerge w:val="restart"/>
            <w:vAlign w:val="center"/>
          </w:tcPr>
          <w:p>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是否符合符合财税〔2015〕119号文件规定的研发活动项目</w:t>
            </w:r>
          </w:p>
        </w:tc>
        <w:tc>
          <w:tcPr>
            <w:tcW w:w="851" w:type="pct"/>
            <w:vMerge w:val="restart"/>
            <w:vAlign w:val="center"/>
          </w:tcPr>
          <w:p>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不符合</w:t>
            </w:r>
          </w:p>
          <w:p>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原因</w:t>
            </w:r>
          </w:p>
        </w:tc>
        <w:tc>
          <w:tcPr>
            <w:tcW w:w="460" w:type="pct"/>
            <w:vMerge w:val="restart"/>
            <w:vAlign w:val="center"/>
          </w:tcPr>
          <w:p>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评审</w:t>
            </w:r>
          </w:p>
          <w:p>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Header/>
          <w:jc w:val="center"/>
        </w:trPr>
        <w:tc>
          <w:tcPr>
            <w:tcW w:w="294" w:type="pct"/>
            <w:vMerge w:val="continue"/>
            <w:vAlign w:val="center"/>
          </w:tcPr>
          <w:p>
            <w:pPr>
              <w:spacing w:line="280" w:lineRule="exact"/>
              <w:ind w:left="-111" w:leftChars="-53" w:right="-84" w:rightChars="-40" w:firstLine="10" w:firstLineChars="5"/>
              <w:jc w:val="center"/>
              <w:rPr>
                <w:rFonts w:ascii="Times New Roman" w:hAnsi="Times New Roman" w:cs="Times New Roman"/>
                <w:b/>
                <w:sz w:val="20"/>
                <w:szCs w:val="20"/>
              </w:rPr>
            </w:pPr>
          </w:p>
        </w:tc>
        <w:tc>
          <w:tcPr>
            <w:tcW w:w="993" w:type="pct"/>
            <w:vMerge w:val="continue"/>
            <w:vAlign w:val="center"/>
          </w:tcPr>
          <w:p>
            <w:pPr>
              <w:spacing w:line="280" w:lineRule="exact"/>
              <w:jc w:val="center"/>
              <w:rPr>
                <w:rFonts w:ascii="Times New Roman" w:hAnsi="Times New Roman" w:cs="Times New Roman"/>
                <w:b/>
                <w:sz w:val="20"/>
                <w:szCs w:val="20"/>
              </w:rPr>
            </w:pPr>
          </w:p>
        </w:tc>
        <w:tc>
          <w:tcPr>
            <w:tcW w:w="1151" w:type="pct"/>
            <w:vMerge w:val="continue"/>
            <w:vAlign w:val="center"/>
          </w:tcPr>
          <w:p>
            <w:pPr>
              <w:spacing w:line="280" w:lineRule="exact"/>
              <w:jc w:val="center"/>
              <w:rPr>
                <w:rFonts w:ascii="Times New Roman" w:hAnsi="Times New Roman" w:cs="Times New Roman"/>
                <w:b/>
                <w:sz w:val="20"/>
                <w:szCs w:val="20"/>
              </w:rPr>
            </w:pPr>
          </w:p>
        </w:tc>
        <w:tc>
          <w:tcPr>
            <w:tcW w:w="650" w:type="pct"/>
            <w:vMerge w:val="continue"/>
            <w:vAlign w:val="center"/>
          </w:tcPr>
          <w:p>
            <w:pPr>
              <w:spacing w:line="280" w:lineRule="exact"/>
              <w:ind w:left="-107" w:leftChars="-51" w:right="-151" w:rightChars="-72"/>
              <w:jc w:val="center"/>
              <w:rPr>
                <w:rFonts w:ascii="Times New Roman" w:hAnsi="Times New Roman" w:cs="Times New Roman"/>
                <w:b/>
                <w:sz w:val="20"/>
                <w:szCs w:val="20"/>
              </w:rPr>
            </w:pPr>
          </w:p>
        </w:tc>
        <w:tc>
          <w:tcPr>
            <w:tcW w:w="601" w:type="pct"/>
            <w:vMerge w:val="continue"/>
            <w:vAlign w:val="center"/>
          </w:tcPr>
          <w:p>
            <w:pPr>
              <w:spacing w:line="280" w:lineRule="exact"/>
              <w:ind w:left="-136" w:leftChars="-65" w:right="-113" w:rightChars="-54"/>
              <w:jc w:val="center"/>
              <w:rPr>
                <w:rFonts w:ascii="Times New Roman" w:hAnsi="Times New Roman" w:cs="Times New Roman"/>
                <w:b/>
                <w:sz w:val="20"/>
                <w:szCs w:val="20"/>
              </w:rPr>
            </w:pPr>
          </w:p>
        </w:tc>
        <w:tc>
          <w:tcPr>
            <w:tcW w:w="851" w:type="pct"/>
            <w:vMerge w:val="continue"/>
            <w:vAlign w:val="center"/>
          </w:tcPr>
          <w:p>
            <w:pPr>
              <w:spacing w:line="280" w:lineRule="exact"/>
              <w:jc w:val="center"/>
              <w:rPr>
                <w:rFonts w:ascii="Times New Roman" w:hAnsi="Times New Roman" w:cs="Times New Roman"/>
                <w:b/>
                <w:sz w:val="20"/>
                <w:szCs w:val="20"/>
              </w:rPr>
            </w:pPr>
          </w:p>
        </w:tc>
        <w:tc>
          <w:tcPr>
            <w:tcW w:w="460" w:type="pct"/>
            <w:vMerge w:val="continue"/>
          </w:tcPr>
          <w:p>
            <w:pPr>
              <w:spacing w:line="280" w:lineRule="exact"/>
              <w:jc w:val="center"/>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pPr>
              <w:spacing w:line="280" w:lineRule="exact"/>
              <w:ind w:left="-111" w:leftChars="-53" w:right="-84" w:rightChars="-40" w:firstLine="10" w:firstLineChars="5"/>
              <w:jc w:val="center"/>
              <w:rPr>
                <w:rFonts w:ascii="Times New Roman" w:hAnsi="Times New Roman" w:eastAsia="方正仿宋_GBK" w:cs="Times New Roman"/>
                <w:sz w:val="20"/>
                <w:szCs w:val="20"/>
              </w:rPr>
            </w:pPr>
            <w:bookmarkStart w:id="0" w:name="_Hlk184052901"/>
            <w:r>
              <w:rPr>
                <w:rFonts w:ascii="Times New Roman" w:hAnsi="Times New Roman" w:eastAsia="方正仿宋_GBK" w:cs="Times New Roman"/>
                <w:sz w:val="20"/>
                <w:szCs w:val="20"/>
              </w:rPr>
              <w:t>1</w:t>
            </w:r>
          </w:p>
        </w:tc>
        <w:tc>
          <w:tcPr>
            <w:tcW w:w="993"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151"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PVA材料冲厕型厌氧生物降解卫生基材的研究与开发</w:t>
            </w:r>
          </w:p>
        </w:tc>
        <w:tc>
          <w:tcPr>
            <w:tcW w:w="65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0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85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46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pPr>
              <w:spacing w:line="280" w:lineRule="exact"/>
              <w:ind w:left="-111" w:leftChars="-53" w:right="-84" w:rightChars="-40" w:firstLine="10" w:firstLineChars="5"/>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p>
        </w:tc>
        <w:tc>
          <w:tcPr>
            <w:tcW w:w="993"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151"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含非水溶降解材料冲厕型厌氧生物降解卫生基材的研究与开发</w:t>
            </w:r>
          </w:p>
        </w:tc>
        <w:tc>
          <w:tcPr>
            <w:tcW w:w="65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0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85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46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pPr>
              <w:spacing w:line="280" w:lineRule="exact"/>
              <w:ind w:left="-111" w:leftChars="-53" w:right="-84" w:rightChars="-40" w:firstLine="10" w:firstLineChars="5"/>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w:t>
            </w:r>
          </w:p>
        </w:tc>
        <w:tc>
          <w:tcPr>
            <w:tcW w:w="993"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151"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长货架期的生物降解包装膜/袋的研究与开发</w:t>
            </w:r>
          </w:p>
        </w:tc>
        <w:tc>
          <w:tcPr>
            <w:tcW w:w="65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0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85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46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pPr>
              <w:spacing w:line="280" w:lineRule="exact"/>
              <w:ind w:left="-111" w:leftChars="-53" w:right="-84" w:rightChars="-40" w:firstLine="10" w:firstLineChars="5"/>
              <w:jc w:val="center"/>
              <w:rPr>
                <w:rFonts w:ascii="Times New Roman" w:hAnsi="Times New Roman" w:eastAsia="方正仿宋_GBK" w:cs="Times New Roman"/>
                <w:sz w:val="20"/>
                <w:szCs w:val="20"/>
              </w:rPr>
            </w:pPr>
            <w:bookmarkStart w:id="1" w:name="_GoBack"/>
            <w:bookmarkEnd w:id="1"/>
            <w:r>
              <w:rPr>
                <w:rFonts w:ascii="Times New Roman" w:hAnsi="Times New Roman" w:eastAsia="方正仿宋_GBK" w:cs="Times New Roman"/>
                <w:sz w:val="20"/>
                <w:szCs w:val="20"/>
              </w:rPr>
              <w:t>4</w:t>
            </w:r>
          </w:p>
        </w:tc>
        <w:tc>
          <w:tcPr>
            <w:tcW w:w="993"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151"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两层共挤PVA薄膜吹膜处理技术的研究开发</w:t>
            </w:r>
          </w:p>
        </w:tc>
        <w:tc>
          <w:tcPr>
            <w:tcW w:w="65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0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85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46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pPr>
              <w:spacing w:line="280" w:lineRule="exact"/>
              <w:ind w:left="-111" w:leftChars="-53" w:right="-84" w:rightChars="-40" w:firstLine="10" w:firstLineChars="5"/>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5</w:t>
            </w:r>
          </w:p>
        </w:tc>
        <w:tc>
          <w:tcPr>
            <w:tcW w:w="993"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151"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采用熔融挤出法生产高品质洗涤品包装薄膜的处理技术研究开发</w:t>
            </w:r>
          </w:p>
        </w:tc>
        <w:tc>
          <w:tcPr>
            <w:tcW w:w="65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0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85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46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pPr>
              <w:spacing w:line="280" w:lineRule="exact"/>
              <w:ind w:left="-111" w:leftChars="-53" w:right="-84" w:rightChars="-40" w:firstLine="10" w:firstLineChars="5"/>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6</w:t>
            </w:r>
          </w:p>
        </w:tc>
        <w:tc>
          <w:tcPr>
            <w:tcW w:w="993"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151"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高强度环保型亚克力板脱模膜的研发及应用</w:t>
            </w:r>
          </w:p>
        </w:tc>
        <w:tc>
          <w:tcPr>
            <w:tcW w:w="65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0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85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46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pPr>
              <w:spacing w:line="280" w:lineRule="exact"/>
              <w:ind w:left="-111" w:leftChars="-53" w:right="-84" w:rightChars="-40" w:firstLine="10" w:firstLineChars="5"/>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7</w:t>
            </w:r>
          </w:p>
        </w:tc>
        <w:tc>
          <w:tcPr>
            <w:tcW w:w="993"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151"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环境友好型高适应性增韧剂的研发</w:t>
            </w:r>
          </w:p>
        </w:tc>
        <w:tc>
          <w:tcPr>
            <w:tcW w:w="65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0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85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46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pPr>
              <w:spacing w:line="280" w:lineRule="exact"/>
              <w:ind w:left="-111" w:leftChars="-53" w:right="-84" w:rightChars="-40" w:firstLine="10" w:firstLineChars="5"/>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8</w:t>
            </w:r>
          </w:p>
        </w:tc>
        <w:tc>
          <w:tcPr>
            <w:tcW w:w="993"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151"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生物基低碳排放水溶性降解包装膜的研发与应用</w:t>
            </w:r>
          </w:p>
        </w:tc>
        <w:tc>
          <w:tcPr>
            <w:tcW w:w="65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0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85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46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pPr>
              <w:spacing w:line="280" w:lineRule="exact"/>
              <w:ind w:left="-111" w:leftChars="-53" w:right="-84" w:rightChars="-40" w:firstLine="10" w:firstLineChars="5"/>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9</w:t>
            </w:r>
          </w:p>
        </w:tc>
        <w:tc>
          <w:tcPr>
            <w:tcW w:w="993"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151"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高吸水率纤维素卫生品膜材的研究</w:t>
            </w:r>
          </w:p>
        </w:tc>
        <w:tc>
          <w:tcPr>
            <w:tcW w:w="65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0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85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46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pPr>
              <w:spacing w:line="280" w:lineRule="exact"/>
              <w:ind w:left="-111" w:leftChars="-53" w:right="-84" w:rightChars="-40" w:firstLine="10" w:firstLineChars="5"/>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10</w:t>
            </w:r>
          </w:p>
        </w:tc>
        <w:tc>
          <w:tcPr>
            <w:tcW w:w="993"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151" w:type="pct"/>
            <w:vAlign w:val="center"/>
          </w:tcPr>
          <w:p>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高吸水率纤维素面膜基材的研究</w:t>
            </w:r>
          </w:p>
        </w:tc>
        <w:tc>
          <w:tcPr>
            <w:tcW w:w="65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0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851"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460" w:type="pct"/>
            <w:vAlign w:val="center"/>
          </w:tcPr>
          <w:p>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bl>
    <w:p>
      <w:pPr>
        <w:tabs>
          <w:tab w:val="left" w:pos="10671"/>
        </w:tabs>
        <w:rPr>
          <w:rFonts w:ascii="Times New Roman" w:hAnsi="Times New Roman" w:cs="Times New Roman"/>
        </w:rPr>
      </w:pPr>
      <w:r>
        <w:rPr>
          <w:rFonts w:ascii="Times New Roman" w:hAnsi="Times New Roman" w:cs="Times New Roman"/>
        </w:rPr>
        <w:tab/>
      </w:r>
    </w:p>
    <w:sectPr>
      <w:headerReference r:id="rId3" w:type="default"/>
      <w:footerReference r:id="rId4" w:type="default"/>
      <w:pgSz w:w="16838" w:h="11906" w:orient="landscape"/>
      <w:pgMar w:top="1588"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方正黑体_GBK" w:eastAsia="方正黑体_GBK"/>
        <w:sz w:val="24"/>
        <w:szCs w:val="32"/>
      </w:rPr>
    </w:pPr>
    <w:r>
      <w:rPr>
        <w:rFonts w:hint="eastAsia" w:ascii="方正黑体_GBK" w:eastAsia="方正黑体_GBK"/>
        <w:sz w:val="24"/>
        <w:szCs w:val="3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方正大标宋_GBK" w:eastAsia="方正大标宋_GBK"/>
        <w:sz w:val="36"/>
        <w:szCs w:val="44"/>
      </w:rPr>
    </w:pPr>
    <w:r>
      <w:rPr>
        <w:rFonts w:hint="eastAsia" w:ascii="方正大标宋_GBK" w:eastAsia="方正大标宋_GBK"/>
        <w:sz w:val="36"/>
        <w:szCs w:val="44"/>
      </w:rPr>
      <w:t>2025年蓬江区第一批企业研究开发费用税前加计扣除项目技术鉴定专家评审表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6D"/>
    <w:rsid w:val="00053C4A"/>
    <w:rsid w:val="000B69B6"/>
    <w:rsid w:val="000D36DA"/>
    <w:rsid w:val="001D34AF"/>
    <w:rsid w:val="00261A99"/>
    <w:rsid w:val="00296776"/>
    <w:rsid w:val="00353F6C"/>
    <w:rsid w:val="00354389"/>
    <w:rsid w:val="00385613"/>
    <w:rsid w:val="003A6D10"/>
    <w:rsid w:val="003E1B1F"/>
    <w:rsid w:val="0041603F"/>
    <w:rsid w:val="00485A63"/>
    <w:rsid w:val="004A6373"/>
    <w:rsid w:val="004F7B4B"/>
    <w:rsid w:val="00510DC9"/>
    <w:rsid w:val="005347E0"/>
    <w:rsid w:val="005C3B00"/>
    <w:rsid w:val="00620D5E"/>
    <w:rsid w:val="00687A54"/>
    <w:rsid w:val="0069542C"/>
    <w:rsid w:val="006D126D"/>
    <w:rsid w:val="006E007C"/>
    <w:rsid w:val="007607C2"/>
    <w:rsid w:val="007C3B22"/>
    <w:rsid w:val="008478C9"/>
    <w:rsid w:val="008B4428"/>
    <w:rsid w:val="008E7752"/>
    <w:rsid w:val="008F5E06"/>
    <w:rsid w:val="00926FDF"/>
    <w:rsid w:val="009D2CBF"/>
    <w:rsid w:val="009E4723"/>
    <w:rsid w:val="009F2128"/>
    <w:rsid w:val="00B220F3"/>
    <w:rsid w:val="00B905BC"/>
    <w:rsid w:val="00C476A2"/>
    <w:rsid w:val="00CC09AB"/>
    <w:rsid w:val="00E00E24"/>
    <w:rsid w:val="00E06F36"/>
    <w:rsid w:val="00E41E43"/>
    <w:rsid w:val="00F22492"/>
    <w:rsid w:val="00F374FA"/>
    <w:rsid w:val="00F7744D"/>
    <w:rsid w:val="00FB61B6"/>
    <w:rsid w:val="2D6B0452"/>
    <w:rsid w:val="6C823D15"/>
    <w:rsid w:val="740C22E8"/>
    <w:rsid w:val="79B61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93</Words>
  <Characters>534</Characters>
  <Lines>4</Lines>
  <Paragraphs>1</Paragraphs>
  <TotalTime>6</TotalTime>
  <ScaleCrop>false</ScaleCrop>
  <LinksUpToDate>false</LinksUpToDate>
  <CharactersWithSpaces>626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2024-12-02T09:06:00Z</dcterms:created>
  <dc:creator>陈志华</dc:creator>
  <cp:lastModifiedBy>Administrator</cp:lastModifiedBy>
  <cp:lastPrinted>2025-12-22T09:14:54Z</cp:lastPrinted>
  <dcterms:modified xsi:type="dcterms:W3CDTF">2025-12-22T09:14:56Z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eyJoZGlkIjoiNThjYjI3NzhlY2FkMGExN2ZjNDM1NDIzMzI0OGNjMGEiLCJ1c2VySWQiOiIyOTA4MDM4NzMifQ==</vt:lpwstr>
  </property>
  <property fmtid="{D5CDD505-2E9C-101B-9397-08002B2CF9AE}" pid="3" name="KSOProductBuildVer">
    <vt:lpwstr>2052-11.8.2.11813</vt:lpwstr>
  </property>
  <property fmtid="{D5CDD505-2E9C-101B-9397-08002B2CF9AE}" pid="4" name="ICV">
    <vt:lpwstr>A124BF2ED9AE445DB93476BB2378CB6B_12</vt:lpwstr>
  </property>
</Properties>
</file>