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1433E">
      <w:pPr>
        <w:rPr>
          <w:sz w:val="32"/>
          <w:szCs w:val="32"/>
        </w:rPr>
      </w:pPr>
      <w:bookmarkStart w:id="0" w:name="_GoBack"/>
      <w:bookmarkEnd w:id="0"/>
      <w:r>
        <w:rPr>
          <w:sz w:val="32"/>
          <w:szCs w:val="32"/>
        </w:rPr>
        <w:t>附件1</w:t>
      </w:r>
    </w:p>
    <w:p w14:paraId="657D9583">
      <w:pPr>
        <w:rPr>
          <w:sz w:val="28"/>
          <w:szCs w:val="28"/>
        </w:rPr>
      </w:pPr>
    </w:p>
    <w:p w14:paraId="1DDDA353">
      <w:pPr>
        <w:spacing w:line="560" w:lineRule="exact"/>
        <w:jc w:val="center"/>
        <w:rPr>
          <w:b/>
          <w:sz w:val="44"/>
          <w:szCs w:val="44"/>
        </w:rPr>
      </w:pPr>
      <w:r>
        <w:rPr>
          <w:b/>
          <w:sz w:val="44"/>
          <w:szCs w:val="44"/>
        </w:rPr>
        <w:t>江门市蓬江区标定地价的基本内容</w:t>
      </w:r>
    </w:p>
    <w:p w14:paraId="5ACF6DBC">
      <w:pPr>
        <w:spacing w:line="560" w:lineRule="exact"/>
        <w:rPr>
          <w:sz w:val="28"/>
          <w:szCs w:val="28"/>
        </w:rPr>
      </w:pPr>
    </w:p>
    <w:p w14:paraId="62B1A32E">
      <w:pPr>
        <w:spacing w:line="560" w:lineRule="exact"/>
        <w:ind w:firstLine="640" w:firstLineChars="200"/>
        <w:rPr>
          <w:rFonts w:hint="eastAsia"/>
          <w:sz w:val="32"/>
          <w:szCs w:val="32"/>
        </w:rPr>
      </w:pPr>
      <w:r>
        <w:rPr>
          <w:sz w:val="32"/>
          <w:szCs w:val="32"/>
        </w:rPr>
        <w:t>一、本次公布的</w:t>
      </w:r>
      <w:r>
        <w:rPr>
          <w:rFonts w:hint="eastAsia"/>
          <w:sz w:val="32"/>
          <w:szCs w:val="32"/>
        </w:rPr>
        <w:t>江门市蓬江区202</w:t>
      </w:r>
      <w:r>
        <w:rPr>
          <w:rFonts w:hint="eastAsia"/>
          <w:sz w:val="32"/>
          <w:szCs w:val="32"/>
          <w:lang w:val="en-US" w:eastAsia="zh-CN"/>
        </w:rPr>
        <w:t>4</w:t>
      </w:r>
      <w:r>
        <w:rPr>
          <w:rFonts w:hint="eastAsia"/>
          <w:sz w:val="32"/>
          <w:szCs w:val="32"/>
        </w:rPr>
        <w:t>年城镇国有建设用地标定地价体系更新及公示项目的公示范围为江门市蓬江区规划建设区范围（其中包括白沙街道、环市街道、潮连街道、杜阮镇、棠下镇、荷塘镇）内的由</w:t>
      </w:r>
      <w:r>
        <w:rPr>
          <w:rFonts w:hint="eastAsia"/>
          <w:sz w:val="32"/>
          <w:szCs w:val="32"/>
          <w:lang w:val="en-US" w:eastAsia="zh-CN"/>
        </w:rPr>
        <w:t>79</w:t>
      </w:r>
      <w:r>
        <w:rPr>
          <w:rFonts w:hint="eastAsia"/>
          <w:sz w:val="32"/>
          <w:szCs w:val="32"/>
        </w:rPr>
        <w:t>个标定区域连接构成的空间范围，公示范围的总面积约52.3平方公里。</w:t>
      </w:r>
    </w:p>
    <w:p w14:paraId="22BEAC74">
      <w:pPr>
        <w:pStyle w:val="48"/>
        <w:spacing w:line="560" w:lineRule="exact"/>
        <w:ind w:firstLine="640"/>
        <w:rPr>
          <w:sz w:val="28"/>
          <w:szCs w:val="28"/>
        </w:rPr>
      </w:pPr>
      <w:r>
        <w:rPr>
          <w:sz w:val="32"/>
          <w:szCs w:val="32"/>
        </w:rPr>
        <w:t>二、本次</w:t>
      </w:r>
      <w:r>
        <w:rPr>
          <w:rFonts w:hint="eastAsia"/>
          <w:sz w:val="32"/>
          <w:szCs w:val="32"/>
        </w:rPr>
        <w:t>江门市蓬江区202</w:t>
      </w:r>
      <w:r>
        <w:rPr>
          <w:rFonts w:hint="eastAsia"/>
          <w:sz w:val="32"/>
          <w:szCs w:val="32"/>
          <w:lang w:val="en-US" w:eastAsia="zh-CN"/>
        </w:rPr>
        <w:t>4</w:t>
      </w:r>
      <w:r>
        <w:rPr>
          <w:rFonts w:hint="eastAsia"/>
          <w:sz w:val="32"/>
          <w:szCs w:val="32"/>
        </w:rPr>
        <w:t>年城镇国有建设用地标定地价体系更新及公示项目</w:t>
      </w:r>
      <w:r>
        <w:rPr>
          <w:sz w:val="32"/>
          <w:szCs w:val="32"/>
        </w:rPr>
        <w:t>主要用地类型包括</w:t>
      </w:r>
      <w:r>
        <w:rPr>
          <w:rFonts w:hint="eastAsia"/>
          <w:sz w:val="32"/>
          <w:szCs w:val="32"/>
        </w:rPr>
        <w:t>商服用地、商住混合用地、工业用地、公共管理与公共服务用地和公用设施用地共五种用途分类</w:t>
      </w:r>
      <w:r>
        <w:rPr>
          <w:sz w:val="32"/>
          <w:szCs w:val="32"/>
        </w:rPr>
        <w:t>。</w:t>
      </w:r>
      <w:r>
        <w:rPr>
          <w:rFonts w:hint="eastAsia"/>
          <w:sz w:val="32"/>
          <w:szCs w:val="32"/>
        </w:rPr>
        <w:t>各用途标定地价的内涵见下表：</w:t>
      </w:r>
    </w:p>
    <w:p w14:paraId="4E2BBD32">
      <w:pPr>
        <w:spacing w:before="108" w:beforeLines="25" w:after="108" w:afterLines="25" w:line="560" w:lineRule="exact"/>
        <w:jc w:val="center"/>
        <w:rPr>
          <w:b/>
          <w:sz w:val="28"/>
          <w:szCs w:val="28"/>
        </w:rPr>
      </w:pPr>
      <w:r>
        <w:rPr>
          <w:b/>
          <w:sz w:val="28"/>
          <w:szCs w:val="28"/>
        </w:rPr>
        <w:t>表1  标定地价内涵表</w:t>
      </w:r>
    </w:p>
    <w:tbl>
      <w:tblPr>
        <w:tblStyle w:val="13"/>
        <w:tblW w:w="63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4"/>
        <w:gridCol w:w="1900"/>
        <w:gridCol w:w="2882"/>
        <w:gridCol w:w="1456"/>
        <w:gridCol w:w="1645"/>
        <w:gridCol w:w="1410"/>
      </w:tblGrid>
      <w:tr w14:paraId="2F26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blHeader/>
          <w:jc w:val="center"/>
        </w:trPr>
        <w:tc>
          <w:tcPr>
            <w:tcW w:w="684" w:type="pct"/>
            <w:tcBorders>
              <w:top w:val="single" w:color="auto" w:sz="4" w:space="0"/>
              <w:left w:val="single" w:color="auto" w:sz="4" w:space="0"/>
              <w:bottom w:val="single" w:color="auto" w:sz="4" w:space="0"/>
              <w:right w:val="single" w:color="auto" w:sz="4" w:space="0"/>
              <w:tl2br w:val="single" w:color="auto" w:sz="4" w:space="0"/>
            </w:tcBorders>
            <w:vAlign w:val="center"/>
          </w:tcPr>
          <w:p w14:paraId="4009D161">
            <w:pPr>
              <w:keepNext/>
              <w:keepLines/>
              <w:adjustRightInd w:val="0"/>
              <w:snapToGrid w:val="0"/>
              <w:jc w:val="right"/>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宗地</w:t>
            </w:r>
          </w:p>
          <w:p w14:paraId="53B25060">
            <w:pPr>
              <w:keepNext/>
              <w:keepLines/>
              <w:adjustRightInd w:val="0"/>
              <w:snapToGrid w:val="0"/>
              <w:jc w:val="right"/>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用途</w:t>
            </w:r>
          </w:p>
          <w:p w14:paraId="7AC2606B">
            <w:pPr>
              <w:keepNext/>
              <w:keepLines/>
              <w:adjustRightInd w:val="0"/>
              <w:snapToGrid w:val="0"/>
              <w:jc w:val="left"/>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项目</w:t>
            </w:r>
          </w:p>
        </w:tc>
        <w:tc>
          <w:tcPr>
            <w:tcW w:w="882" w:type="pct"/>
            <w:tcBorders>
              <w:top w:val="single" w:color="auto" w:sz="4" w:space="0"/>
              <w:left w:val="single" w:color="auto" w:sz="4" w:space="0"/>
              <w:bottom w:val="single" w:color="auto" w:sz="4" w:space="0"/>
              <w:right w:val="single" w:color="auto" w:sz="4" w:space="0"/>
            </w:tcBorders>
            <w:vAlign w:val="center"/>
          </w:tcPr>
          <w:p w14:paraId="0DF9D825">
            <w:pPr>
              <w:keepNext/>
              <w:keepLines/>
              <w:adjustRightInd w:val="0"/>
              <w:snapToGrid w:val="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商服用地</w:t>
            </w:r>
          </w:p>
        </w:tc>
        <w:tc>
          <w:tcPr>
            <w:tcW w:w="1338" w:type="pct"/>
            <w:tcBorders>
              <w:top w:val="single" w:color="auto" w:sz="4" w:space="0"/>
              <w:left w:val="single" w:color="auto" w:sz="4" w:space="0"/>
              <w:bottom w:val="single" w:color="auto" w:sz="4" w:space="0"/>
              <w:right w:val="single" w:color="auto" w:sz="4" w:space="0"/>
            </w:tcBorders>
            <w:vAlign w:val="center"/>
          </w:tcPr>
          <w:p w14:paraId="44E5ACE0">
            <w:pPr>
              <w:keepNext/>
              <w:keepLines/>
              <w:adjustRightInd w:val="0"/>
              <w:snapToGrid w:val="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商住混合用地</w:t>
            </w:r>
          </w:p>
        </w:tc>
        <w:tc>
          <w:tcPr>
            <w:tcW w:w="676" w:type="pct"/>
            <w:tcBorders>
              <w:top w:val="single" w:color="auto" w:sz="4" w:space="0"/>
              <w:left w:val="single" w:color="auto" w:sz="4" w:space="0"/>
              <w:bottom w:val="single" w:color="auto" w:sz="4" w:space="0"/>
              <w:right w:val="single" w:color="auto" w:sz="4" w:space="0"/>
            </w:tcBorders>
            <w:vAlign w:val="center"/>
          </w:tcPr>
          <w:p w14:paraId="3A25F860">
            <w:pPr>
              <w:keepNext/>
              <w:keepLines/>
              <w:adjustRightInd w:val="0"/>
              <w:snapToGrid w:val="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工业用地</w:t>
            </w:r>
          </w:p>
        </w:tc>
        <w:tc>
          <w:tcPr>
            <w:tcW w:w="763" w:type="pct"/>
            <w:tcBorders>
              <w:top w:val="single" w:color="auto" w:sz="4" w:space="0"/>
              <w:left w:val="single" w:color="auto" w:sz="4" w:space="0"/>
              <w:bottom w:val="single" w:color="auto" w:sz="4" w:space="0"/>
              <w:right w:val="single" w:color="auto" w:sz="4" w:space="0"/>
            </w:tcBorders>
            <w:vAlign w:val="center"/>
          </w:tcPr>
          <w:p w14:paraId="5DB63D09">
            <w:pPr>
              <w:keepNext/>
              <w:keepLines/>
              <w:adjustRightInd w:val="0"/>
              <w:snapToGrid w:val="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公共管理与公共服务用地</w:t>
            </w:r>
          </w:p>
        </w:tc>
        <w:tc>
          <w:tcPr>
            <w:tcW w:w="654" w:type="pct"/>
            <w:tcBorders>
              <w:top w:val="single" w:color="auto" w:sz="4" w:space="0"/>
              <w:left w:val="single" w:color="auto" w:sz="4" w:space="0"/>
              <w:bottom w:val="single" w:color="auto" w:sz="4" w:space="0"/>
              <w:right w:val="single" w:color="auto" w:sz="4" w:space="0"/>
            </w:tcBorders>
            <w:vAlign w:val="center"/>
          </w:tcPr>
          <w:p w14:paraId="33506B05">
            <w:pPr>
              <w:keepNext/>
              <w:keepLines/>
              <w:adjustRightInd w:val="0"/>
              <w:snapToGrid w:val="0"/>
              <w:jc w:val="center"/>
              <w:rPr>
                <w:rFonts w:hint="default" w:ascii="Times New Roman" w:hAnsi="Times New Roman" w:eastAsia="仿宋_GB2312" w:cs="Times New Roman"/>
                <w:b/>
                <w:color w:val="auto"/>
                <w:sz w:val="28"/>
                <w:szCs w:val="28"/>
              </w:rPr>
            </w:pPr>
            <w:r>
              <w:rPr>
                <w:rFonts w:hint="default" w:ascii="Times New Roman" w:hAnsi="Times New Roman" w:eastAsia="仿宋_GB2312" w:cs="Times New Roman"/>
                <w:b/>
                <w:color w:val="auto"/>
                <w:sz w:val="28"/>
                <w:szCs w:val="28"/>
              </w:rPr>
              <w:t>公用设施用地</w:t>
            </w:r>
          </w:p>
        </w:tc>
      </w:tr>
      <w:tr w14:paraId="32863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14:paraId="718DDB19">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估价期日</w:t>
            </w:r>
          </w:p>
        </w:tc>
        <w:tc>
          <w:tcPr>
            <w:tcW w:w="4315" w:type="pct"/>
            <w:gridSpan w:val="5"/>
            <w:tcBorders>
              <w:top w:val="single" w:color="auto" w:sz="4" w:space="0"/>
              <w:left w:val="single" w:color="auto" w:sz="4" w:space="0"/>
              <w:right w:val="single" w:color="auto" w:sz="4" w:space="0"/>
            </w:tcBorders>
            <w:vAlign w:val="center"/>
          </w:tcPr>
          <w:p w14:paraId="6A1B407F">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2024年1月1日</w:t>
            </w:r>
          </w:p>
        </w:tc>
      </w:tr>
      <w:tr w14:paraId="42701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14:paraId="60EEAD2D">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土地开发程度</w:t>
            </w:r>
          </w:p>
        </w:tc>
        <w:tc>
          <w:tcPr>
            <w:tcW w:w="4315" w:type="pct"/>
            <w:gridSpan w:val="5"/>
            <w:tcBorders>
              <w:left w:val="single" w:color="auto" w:sz="4" w:space="0"/>
              <w:bottom w:val="single" w:color="auto" w:sz="4" w:space="0"/>
              <w:right w:val="single" w:color="auto" w:sz="4" w:space="0"/>
            </w:tcBorders>
            <w:vAlign w:val="center"/>
          </w:tcPr>
          <w:p w14:paraId="3F768F9C">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宗地红线外按现状条件，宗地红线内场地平整</w:t>
            </w:r>
          </w:p>
        </w:tc>
      </w:tr>
      <w:tr w14:paraId="4DCE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14:paraId="61DFCB2B">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法定使用年期</w:t>
            </w:r>
          </w:p>
        </w:tc>
        <w:tc>
          <w:tcPr>
            <w:tcW w:w="882" w:type="pct"/>
            <w:tcBorders>
              <w:top w:val="single" w:color="auto" w:sz="4" w:space="0"/>
              <w:left w:val="single" w:color="auto" w:sz="4" w:space="0"/>
              <w:bottom w:val="single" w:color="auto" w:sz="4" w:space="0"/>
              <w:right w:val="single" w:color="auto" w:sz="4" w:space="0"/>
            </w:tcBorders>
            <w:vAlign w:val="center"/>
          </w:tcPr>
          <w:p w14:paraId="618223DC">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40年</w:t>
            </w:r>
          </w:p>
        </w:tc>
        <w:tc>
          <w:tcPr>
            <w:tcW w:w="1338" w:type="pct"/>
            <w:tcBorders>
              <w:top w:val="single" w:color="auto" w:sz="4" w:space="0"/>
              <w:left w:val="single" w:color="auto" w:sz="4" w:space="0"/>
              <w:bottom w:val="single" w:color="auto" w:sz="4" w:space="0"/>
              <w:right w:val="single" w:color="auto" w:sz="4" w:space="0"/>
            </w:tcBorders>
            <w:vAlign w:val="center"/>
          </w:tcPr>
          <w:p w14:paraId="58A696B2">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商服40年</w:t>
            </w:r>
          </w:p>
          <w:p w14:paraId="09F01A76">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住宅70年</w:t>
            </w:r>
          </w:p>
        </w:tc>
        <w:tc>
          <w:tcPr>
            <w:tcW w:w="676" w:type="pct"/>
            <w:tcBorders>
              <w:top w:val="single" w:color="auto" w:sz="4" w:space="0"/>
              <w:left w:val="single" w:color="auto" w:sz="4" w:space="0"/>
              <w:bottom w:val="single" w:color="auto" w:sz="4" w:space="0"/>
              <w:right w:val="single" w:color="auto" w:sz="4" w:space="0"/>
            </w:tcBorders>
            <w:vAlign w:val="center"/>
          </w:tcPr>
          <w:p w14:paraId="5B33D4A4">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50年</w:t>
            </w:r>
          </w:p>
        </w:tc>
        <w:tc>
          <w:tcPr>
            <w:tcW w:w="763" w:type="pct"/>
            <w:tcBorders>
              <w:top w:val="single" w:color="auto" w:sz="4" w:space="0"/>
              <w:left w:val="single" w:color="auto" w:sz="4" w:space="0"/>
              <w:bottom w:val="single" w:color="auto" w:sz="4" w:space="0"/>
              <w:right w:val="single" w:color="auto" w:sz="4" w:space="0"/>
            </w:tcBorders>
            <w:vAlign w:val="center"/>
          </w:tcPr>
          <w:p w14:paraId="6E71851F">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50年</w:t>
            </w:r>
          </w:p>
        </w:tc>
        <w:tc>
          <w:tcPr>
            <w:tcW w:w="654" w:type="pct"/>
            <w:tcBorders>
              <w:top w:val="single" w:color="auto" w:sz="4" w:space="0"/>
              <w:left w:val="single" w:color="auto" w:sz="4" w:space="0"/>
              <w:bottom w:val="single" w:color="auto" w:sz="4" w:space="0"/>
              <w:right w:val="single" w:color="auto" w:sz="4" w:space="0"/>
            </w:tcBorders>
            <w:vAlign w:val="center"/>
          </w:tcPr>
          <w:p w14:paraId="140CE589">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50年</w:t>
            </w:r>
          </w:p>
        </w:tc>
      </w:tr>
      <w:tr w14:paraId="11C19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14:paraId="019A4FE4">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容积率</w:t>
            </w:r>
          </w:p>
        </w:tc>
        <w:tc>
          <w:tcPr>
            <w:tcW w:w="4315" w:type="pct"/>
            <w:gridSpan w:val="5"/>
            <w:tcBorders>
              <w:top w:val="single" w:color="auto" w:sz="4" w:space="0"/>
              <w:left w:val="single" w:color="auto" w:sz="4" w:space="0"/>
              <w:bottom w:val="single" w:color="auto" w:sz="4" w:space="0"/>
              <w:right w:val="single" w:color="auto" w:sz="4" w:space="0"/>
            </w:tcBorders>
            <w:vAlign w:val="center"/>
          </w:tcPr>
          <w:p w14:paraId="17F79FFE">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现状容积率（未建成用地按规划容积率）</w:t>
            </w:r>
          </w:p>
        </w:tc>
      </w:tr>
      <w:tr w14:paraId="091C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14:paraId="4A975730">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标准宗地</w:t>
            </w:r>
          </w:p>
          <w:p w14:paraId="2AF8A604">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现状容积率范围</w:t>
            </w:r>
          </w:p>
        </w:tc>
        <w:tc>
          <w:tcPr>
            <w:tcW w:w="882" w:type="pct"/>
            <w:tcBorders>
              <w:top w:val="single" w:color="auto" w:sz="4" w:space="0"/>
              <w:left w:val="single" w:color="auto" w:sz="4" w:space="0"/>
              <w:bottom w:val="single" w:color="auto" w:sz="4" w:space="0"/>
              <w:right w:val="single" w:color="auto" w:sz="4" w:space="0"/>
            </w:tcBorders>
            <w:vAlign w:val="center"/>
          </w:tcPr>
          <w:p w14:paraId="2005B3E2">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2.00</w:t>
            </w:r>
            <w:r>
              <w:rPr>
                <w:rFonts w:hint="default" w:ascii="Times New Roman" w:hAnsi="Times New Roman" w:eastAsia="等线" w:cs="Times New Roman"/>
                <w:color w:val="auto"/>
                <w:sz w:val="28"/>
                <w:szCs w:val="28"/>
                <w:lang w:val="en-US" w:eastAsia="zh-CN"/>
              </w:rPr>
              <w:t>~</w:t>
            </w:r>
            <w:r>
              <w:rPr>
                <w:rFonts w:hint="default" w:ascii="Times New Roman" w:hAnsi="Times New Roman" w:eastAsia="仿宋_GB2312" w:cs="Times New Roman"/>
                <w:color w:val="auto"/>
                <w:sz w:val="28"/>
                <w:szCs w:val="28"/>
              </w:rPr>
              <w:t>4.5</w:t>
            </w:r>
          </w:p>
        </w:tc>
        <w:tc>
          <w:tcPr>
            <w:tcW w:w="1338" w:type="pct"/>
            <w:tcBorders>
              <w:top w:val="single" w:color="auto" w:sz="4" w:space="0"/>
              <w:left w:val="single" w:color="auto" w:sz="4" w:space="0"/>
              <w:bottom w:val="single" w:color="auto" w:sz="4" w:space="0"/>
              <w:right w:val="single" w:color="auto" w:sz="4" w:space="0"/>
            </w:tcBorders>
            <w:vAlign w:val="center"/>
          </w:tcPr>
          <w:p w14:paraId="15D2A312">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1.56</w:t>
            </w:r>
            <w:r>
              <w:rPr>
                <w:rFonts w:hint="default" w:ascii="Times New Roman" w:hAnsi="Times New Roman" w:eastAsia="等线" w:cs="Times New Roman"/>
                <w:color w:val="auto"/>
                <w:sz w:val="28"/>
                <w:szCs w:val="28"/>
                <w:lang w:val="en-US" w:eastAsia="zh-CN"/>
              </w:rPr>
              <w:t>~</w:t>
            </w:r>
            <w:r>
              <w:rPr>
                <w:rFonts w:hint="default" w:ascii="Times New Roman" w:hAnsi="Times New Roman" w:eastAsia="仿宋_GB2312" w:cs="Times New Roman"/>
                <w:color w:val="auto"/>
                <w:sz w:val="28"/>
                <w:szCs w:val="28"/>
              </w:rPr>
              <w:t>4.12</w:t>
            </w:r>
          </w:p>
        </w:tc>
        <w:tc>
          <w:tcPr>
            <w:tcW w:w="676" w:type="pct"/>
            <w:tcBorders>
              <w:top w:val="single" w:color="auto" w:sz="4" w:space="0"/>
              <w:left w:val="single" w:color="auto" w:sz="4" w:space="0"/>
              <w:bottom w:val="single" w:color="auto" w:sz="4" w:space="0"/>
              <w:right w:val="single" w:color="auto" w:sz="4" w:space="0"/>
            </w:tcBorders>
            <w:vAlign w:val="center"/>
          </w:tcPr>
          <w:p w14:paraId="4CC6A555">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0.22</w:t>
            </w:r>
            <w:r>
              <w:rPr>
                <w:rFonts w:hint="default" w:ascii="Times New Roman" w:hAnsi="Times New Roman" w:eastAsia="等线" w:cs="Times New Roman"/>
                <w:color w:val="auto"/>
                <w:sz w:val="28"/>
                <w:szCs w:val="28"/>
                <w:lang w:val="en-US" w:eastAsia="zh-CN"/>
              </w:rPr>
              <w:t>~</w:t>
            </w:r>
            <w:r>
              <w:rPr>
                <w:rFonts w:hint="default" w:ascii="Times New Roman" w:hAnsi="Times New Roman" w:eastAsia="仿宋_GB2312" w:cs="Times New Roman"/>
                <w:color w:val="auto"/>
                <w:sz w:val="28"/>
                <w:szCs w:val="28"/>
              </w:rPr>
              <w:t>3.5</w:t>
            </w:r>
          </w:p>
        </w:tc>
        <w:tc>
          <w:tcPr>
            <w:tcW w:w="763" w:type="pct"/>
            <w:tcBorders>
              <w:top w:val="single" w:color="auto" w:sz="4" w:space="0"/>
              <w:left w:val="single" w:color="auto" w:sz="4" w:space="0"/>
              <w:bottom w:val="single" w:color="auto" w:sz="4" w:space="0"/>
              <w:right w:val="single" w:color="auto" w:sz="4" w:space="0"/>
            </w:tcBorders>
            <w:vAlign w:val="center"/>
          </w:tcPr>
          <w:p w14:paraId="7BC185C4">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1.2</w:t>
            </w:r>
            <w:r>
              <w:rPr>
                <w:rFonts w:hint="default" w:ascii="Times New Roman" w:hAnsi="Times New Roman" w:eastAsia="等线" w:cs="Times New Roman"/>
                <w:color w:val="auto"/>
                <w:sz w:val="28"/>
                <w:szCs w:val="28"/>
                <w:lang w:val="en-US" w:eastAsia="zh-CN"/>
              </w:rPr>
              <w:t>~</w:t>
            </w:r>
            <w:r>
              <w:rPr>
                <w:rFonts w:hint="default" w:ascii="Times New Roman" w:hAnsi="Times New Roman" w:eastAsia="仿宋_GB2312" w:cs="Times New Roman"/>
                <w:color w:val="auto"/>
                <w:sz w:val="28"/>
                <w:szCs w:val="28"/>
              </w:rPr>
              <w:t>1.5</w:t>
            </w:r>
          </w:p>
        </w:tc>
        <w:tc>
          <w:tcPr>
            <w:tcW w:w="654" w:type="pct"/>
            <w:tcBorders>
              <w:top w:val="single" w:color="auto" w:sz="4" w:space="0"/>
              <w:left w:val="single" w:color="auto" w:sz="4" w:space="0"/>
              <w:bottom w:val="single" w:color="auto" w:sz="4" w:space="0"/>
              <w:right w:val="single" w:color="auto" w:sz="4" w:space="0"/>
            </w:tcBorders>
            <w:vAlign w:val="center"/>
          </w:tcPr>
          <w:p w14:paraId="4A35B2E1">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0.17</w:t>
            </w:r>
            <w:r>
              <w:rPr>
                <w:rFonts w:hint="default" w:ascii="Times New Roman" w:hAnsi="Times New Roman" w:eastAsia="等线" w:cs="Times New Roman"/>
                <w:color w:val="auto"/>
                <w:sz w:val="28"/>
                <w:szCs w:val="28"/>
                <w:lang w:val="en-US" w:eastAsia="zh-CN"/>
              </w:rPr>
              <w:t>~</w:t>
            </w:r>
            <w:r>
              <w:rPr>
                <w:rFonts w:hint="default" w:ascii="Times New Roman" w:hAnsi="Times New Roman" w:eastAsia="仿宋_GB2312" w:cs="Times New Roman"/>
                <w:color w:val="auto"/>
                <w:sz w:val="28"/>
                <w:szCs w:val="28"/>
              </w:rPr>
              <w:t>1.0</w:t>
            </w:r>
          </w:p>
        </w:tc>
      </w:tr>
      <w:tr w14:paraId="2BDE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4" w:type="pct"/>
            <w:tcBorders>
              <w:top w:val="single" w:color="auto" w:sz="4" w:space="0"/>
              <w:left w:val="single" w:color="auto" w:sz="4" w:space="0"/>
              <w:bottom w:val="single" w:color="auto" w:sz="4" w:space="0"/>
              <w:right w:val="single" w:color="auto" w:sz="4" w:space="0"/>
            </w:tcBorders>
            <w:vAlign w:val="center"/>
          </w:tcPr>
          <w:p w14:paraId="19E47CED">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价值类型</w:t>
            </w:r>
          </w:p>
        </w:tc>
        <w:tc>
          <w:tcPr>
            <w:tcW w:w="4315" w:type="pct"/>
            <w:gridSpan w:val="5"/>
            <w:tcBorders>
              <w:top w:val="single" w:color="auto" w:sz="4" w:space="0"/>
              <w:left w:val="single" w:color="auto" w:sz="4" w:space="0"/>
              <w:bottom w:val="single" w:color="auto" w:sz="4" w:space="0"/>
              <w:right w:val="single" w:color="auto" w:sz="4" w:space="0"/>
            </w:tcBorders>
            <w:vAlign w:val="center"/>
          </w:tcPr>
          <w:p w14:paraId="6D994452">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市场特征平稳正常情况和公开竞争市场条件下的权利特征完整的使用权价格</w:t>
            </w:r>
          </w:p>
        </w:tc>
      </w:tr>
      <w:tr w14:paraId="40AD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684" w:type="pct"/>
            <w:tcBorders>
              <w:top w:val="single" w:color="auto" w:sz="4" w:space="0"/>
              <w:left w:val="single" w:color="auto" w:sz="4" w:space="0"/>
              <w:right w:val="single" w:color="auto" w:sz="4" w:space="0"/>
            </w:tcBorders>
            <w:vAlign w:val="center"/>
          </w:tcPr>
          <w:p w14:paraId="227B4533">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价格表现形式</w:t>
            </w:r>
          </w:p>
        </w:tc>
        <w:tc>
          <w:tcPr>
            <w:tcW w:w="882" w:type="pct"/>
            <w:tcBorders>
              <w:top w:val="single" w:color="auto" w:sz="4" w:space="0"/>
              <w:left w:val="single" w:color="auto" w:sz="4" w:space="0"/>
              <w:bottom w:val="single" w:color="auto" w:sz="4" w:space="0"/>
              <w:right w:val="single" w:color="auto" w:sz="4" w:space="0"/>
            </w:tcBorders>
            <w:vAlign w:val="center"/>
          </w:tcPr>
          <w:p w14:paraId="6E1A877F">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平均楼面地价</w:t>
            </w:r>
          </w:p>
          <w:p w14:paraId="0ACD0867">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地面地价</w:t>
            </w:r>
          </w:p>
          <w:p w14:paraId="76C8153B">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商业首层楼面地价</w:t>
            </w:r>
          </w:p>
          <w:p w14:paraId="74E37303">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旅馆（公寓）楼面地价</w:t>
            </w:r>
          </w:p>
          <w:p w14:paraId="54C04096">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商务金融楼面地价</w:t>
            </w:r>
          </w:p>
        </w:tc>
        <w:tc>
          <w:tcPr>
            <w:tcW w:w="1338" w:type="pct"/>
            <w:tcBorders>
              <w:top w:val="single" w:color="auto" w:sz="4" w:space="0"/>
              <w:left w:val="single" w:color="auto" w:sz="4" w:space="0"/>
              <w:bottom w:val="single" w:color="auto" w:sz="4" w:space="0"/>
              <w:right w:val="single" w:color="auto" w:sz="4" w:space="0"/>
            </w:tcBorders>
            <w:vAlign w:val="center"/>
          </w:tcPr>
          <w:p w14:paraId="6E7A9621">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平均楼面地价</w:t>
            </w:r>
          </w:p>
          <w:p w14:paraId="6FDE4F72">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地面地价</w:t>
            </w:r>
          </w:p>
          <w:p w14:paraId="3E9AB223">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商业首层楼面地价</w:t>
            </w:r>
          </w:p>
          <w:p w14:paraId="4FB0CDF1">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旅馆（公寓）楼面地价</w:t>
            </w:r>
          </w:p>
          <w:p w14:paraId="4CD97F9A">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商务金融楼面地价</w:t>
            </w:r>
          </w:p>
          <w:p w14:paraId="4F0103BF">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住宅（电梯）楼面地价</w:t>
            </w:r>
          </w:p>
          <w:p w14:paraId="74F99731">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住宅（步梯）楼面地价</w:t>
            </w:r>
          </w:p>
          <w:p w14:paraId="262A26B7">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低密度住宅楼面地价</w:t>
            </w:r>
          </w:p>
        </w:tc>
        <w:tc>
          <w:tcPr>
            <w:tcW w:w="676" w:type="pct"/>
            <w:tcBorders>
              <w:top w:val="single" w:color="auto" w:sz="4" w:space="0"/>
              <w:left w:val="single" w:color="auto" w:sz="4" w:space="0"/>
              <w:bottom w:val="single" w:color="auto" w:sz="4" w:space="0"/>
              <w:right w:val="single" w:color="auto" w:sz="4" w:space="0"/>
            </w:tcBorders>
            <w:vAlign w:val="center"/>
          </w:tcPr>
          <w:p w14:paraId="3A1C1452">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地面地价</w:t>
            </w:r>
          </w:p>
        </w:tc>
        <w:tc>
          <w:tcPr>
            <w:tcW w:w="763" w:type="pct"/>
            <w:tcBorders>
              <w:top w:val="single" w:color="auto" w:sz="4" w:space="0"/>
              <w:left w:val="single" w:color="auto" w:sz="4" w:space="0"/>
              <w:bottom w:val="single" w:color="auto" w:sz="4" w:space="0"/>
              <w:right w:val="single" w:color="auto" w:sz="4" w:space="0"/>
            </w:tcBorders>
            <w:vAlign w:val="center"/>
          </w:tcPr>
          <w:p w14:paraId="2E825AB4">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平均楼面</w:t>
            </w:r>
          </w:p>
          <w:p w14:paraId="62445F76">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地价</w:t>
            </w:r>
          </w:p>
          <w:p w14:paraId="740F0B41">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地面地价</w:t>
            </w:r>
          </w:p>
        </w:tc>
        <w:tc>
          <w:tcPr>
            <w:tcW w:w="654" w:type="pct"/>
            <w:tcBorders>
              <w:top w:val="single" w:color="auto" w:sz="4" w:space="0"/>
              <w:left w:val="single" w:color="auto" w:sz="4" w:space="0"/>
              <w:bottom w:val="single" w:color="auto" w:sz="4" w:space="0"/>
              <w:right w:val="single" w:color="auto" w:sz="4" w:space="0"/>
            </w:tcBorders>
            <w:vAlign w:val="center"/>
          </w:tcPr>
          <w:p w14:paraId="002FB135">
            <w:pPr>
              <w:adjustRightInd w:val="0"/>
              <w:snapToGrid w:val="0"/>
              <w:jc w:val="center"/>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地面地价</w:t>
            </w:r>
          </w:p>
        </w:tc>
      </w:tr>
    </w:tbl>
    <w:p w14:paraId="176094EF">
      <w:pPr>
        <w:spacing w:line="540" w:lineRule="exact"/>
        <w:ind w:firstLine="640" w:firstLineChars="200"/>
        <w:rPr>
          <w:sz w:val="32"/>
          <w:szCs w:val="32"/>
        </w:rPr>
      </w:pPr>
      <w:r>
        <w:rPr>
          <w:rFonts w:hint="eastAsia"/>
          <w:sz w:val="32"/>
          <w:szCs w:val="32"/>
          <w:lang w:val="en-US" w:eastAsia="zh-CN"/>
        </w:rPr>
        <w:t>三</w:t>
      </w:r>
      <w:r>
        <w:rPr>
          <w:sz w:val="32"/>
          <w:szCs w:val="32"/>
        </w:rPr>
        <w:t>、本次标定地价的估价期日为202</w:t>
      </w:r>
      <w:r>
        <w:rPr>
          <w:rFonts w:hint="eastAsia"/>
          <w:sz w:val="32"/>
          <w:szCs w:val="32"/>
          <w:lang w:val="en-US" w:eastAsia="zh-CN"/>
        </w:rPr>
        <w:t>4</w:t>
      </w:r>
      <w:r>
        <w:rPr>
          <w:sz w:val="32"/>
          <w:szCs w:val="32"/>
        </w:rPr>
        <w:t>年1月1日。</w:t>
      </w:r>
    </w:p>
    <w:p w14:paraId="6F3E4E71">
      <w:pPr>
        <w:spacing w:line="540" w:lineRule="exact"/>
        <w:ind w:firstLine="640" w:firstLineChars="200"/>
        <w:rPr>
          <w:sz w:val="28"/>
          <w:szCs w:val="28"/>
        </w:rPr>
      </w:pPr>
      <w:r>
        <w:rPr>
          <w:rFonts w:hint="eastAsia"/>
          <w:sz w:val="32"/>
          <w:szCs w:val="32"/>
          <w:lang w:val="en-US" w:eastAsia="zh-CN"/>
        </w:rPr>
        <w:t>四</w:t>
      </w:r>
      <w:r>
        <w:rPr>
          <w:sz w:val="32"/>
          <w:szCs w:val="32"/>
        </w:rPr>
        <w:t>、</w:t>
      </w:r>
      <w:r>
        <w:rPr>
          <w:rFonts w:hint="eastAsia"/>
          <w:sz w:val="32"/>
          <w:szCs w:val="32"/>
        </w:rPr>
        <w:t>参考《国土空间调查、规划、用途管制用地用海分类指南》（自然资发〔202</w:t>
      </w:r>
      <w:r>
        <w:rPr>
          <w:rFonts w:hint="eastAsia"/>
          <w:sz w:val="32"/>
          <w:szCs w:val="32"/>
          <w:lang w:val="en-US" w:eastAsia="zh-CN"/>
        </w:rPr>
        <w:t>3</w:t>
      </w:r>
      <w:r>
        <w:rPr>
          <w:rFonts w:hint="eastAsia"/>
          <w:sz w:val="32"/>
          <w:szCs w:val="32"/>
        </w:rPr>
        <w:t>〕</w:t>
      </w:r>
      <w:r>
        <w:rPr>
          <w:rFonts w:hint="eastAsia"/>
          <w:sz w:val="32"/>
          <w:szCs w:val="32"/>
          <w:lang w:val="en-US" w:eastAsia="zh-CN"/>
        </w:rPr>
        <w:t>234</w:t>
      </w:r>
      <w:r>
        <w:rPr>
          <w:rFonts w:hint="eastAsia"/>
          <w:sz w:val="32"/>
          <w:szCs w:val="32"/>
        </w:rPr>
        <w:t>号），进一步将标定地价的土地用途细分至二级类。具体如下表：</w:t>
      </w:r>
    </w:p>
    <w:p w14:paraId="4454390A">
      <w:pPr>
        <w:spacing w:after="108" w:afterLines="25" w:line="560" w:lineRule="exact"/>
        <w:jc w:val="center"/>
        <w:rPr>
          <w:b/>
          <w:sz w:val="28"/>
          <w:szCs w:val="28"/>
        </w:rPr>
      </w:pPr>
      <w:r>
        <w:rPr>
          <w:b/>
          <w:sz w:val="28"/>
          <w:szCs w:val="28"/>
        </w:rPr>
        <w:t xml:space="preserve">表2  </w:t>
      </w:r>
      <w:r>
        <w:rPr>
          <w:rFonts w:hint="eastAsia"/>
          <w:b/>
          <w:sz w:val="28"/>
          <w:szCs w:val="28"/>
        </w:rPr>
        <w:t>标定地价评估用途表</w:t>
      </w:r>
    </w:p>
    <w:tbl>
      <w:tblPr>
        <w:tblStyle w:val="13"/>
        <w:tblW w:w="58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58"/>
        <w:gridCol w:w="2667"/>
        <w:gridCol w:w="4393"/>
      </w:tblGrid>
      <w:tr w14:paraId="4458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 w:hRule="atLeast"/>
          <w:tblHeader/>
          <w:jc w:val="center"/>
        </w:trPr>
        <w:tc>
          <w:tcPr>
            <w:tcW w:w="1476" w:type="pct"/>
            <w:shd w:val="clear" w:color="auto" w:fill="auto"/>
            <w:vAlign w:val="center"/>
          </w:tcPr>
          <w:p w14:paraId="046FF2AD">
            <w:pPr>
              <w:adjustRightInd w:val="0"/>
              <w:snapToGrid w:val="0"/>
              <w:spacing w:before="60" w:after="60"/>
              <w:jc w:val="center"/>
              <w:rPr>
                <w:b/>
                <w:bCs/>
                <w:color w:val="000000"/>
                <w:sz w:val="28"/>
                <w:szCs w:val="28"/>
              </w:rPr>
            </w:pPr>
            <w:r>
              <w:rPr>
                <w:b/>
                <w:bCs/>
                <w:color w:val="000000"/>
                <w:sz w:val="28"/>
                <w:szCs w:val="28"/>
              </w:rPr>
              <w:t>标定地价评估用途</w:t>
            </w:r>
          </w:p>
        </w:tc>
        <w:tc>
          <w:tcPr>
            <w:tcW w:w="1331" w:type="pct"/>
            <w:shd w:val="clear" w:color="auto" w:fill="auto"/>
            <w:vAlign w:val="center"/>
          </w:tcPr>
          <w:p w14:paraId="55BD87C6">
            <w:pPr>
              <w:adjustRightInd w:val="0"/>
              <w:snapToGrid w:val="0"/>
              <w:spacing w:before="60" w:after="60"/>
              <w:jc w:val="center"/>
              <w:rPr>
                <w:b/>
                <w:sz w:val="28"/>
                <w:szCs w:val="28"/>
              </w:rPr>
            </w:pPr>
            <w:r>
              <w:rPr>
                <w:b/>
                <w:bCs/>
                <w:color w:val="000000"/>
                <w:sz w:val="28"/>
                <w:szCs w:val="28"/>
              </w:rPr>
              <w:t>一级类</w:t>
            </w:r>
          </w:p>
        </w:tc>
        <w:tc>
          <w:tcPr>
            <w:tcW w:w="2192" w:type="pct"/>
            <w:shd w:val="clear" w:color="auto" w:fill="auto"/>
            <w:vAlign w:val="center"/>
          </w:tcPr>
          <w:p w14:paraId="630EA838">
            <w:pPr>
              <w:adjustRightInd w:val="0"/>
              <w:snapToGrid w:val="0"/>
              <w:spacing w:before="60" w:after="60"/>
              <w:jc w:val="center"/>
              <w:rPr>
                <w:b/>
                <w:sz w:val="28"/>
                <w:szCs w:val="28"/>
              </w:rPr>
            </w:pPr>
            <w:r>
              <w:rPr>
                <w:b/>
                <w:bCs/>
                <w:color w:val="000000"/>
                <w:sz w:val="28"/>
                <w:szCs w:val="28"/>
              </w:rPr>
              <w:t>二级类</w:t>
            </w:r>
          </w:p>
        </w:tc>
      </w:tr>
      <w:tr w14:paraId="34167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76" w:type="pct"/>
            <w:shd w:val="clear" w:color="auto" w:fill="auto"/>
            <w:vAlign w:val="center"/>
          </w:tcPr>
          <w:p w14:paraId="0D382055">
            <w:pPr>
              <w:adjustRightInd w:val="0"/>
              <w:snapToGrid w:val="0"/>
              <w:spacing w:before="60" w:after="60"/>
              <w:jc w:val="center"/>
              <w:rPr>
                <w:color w:val="000000"/>
                <w:sz w:val="28"/>
                <w:szCs w:val="28"/>
              </w:rPr>
            </w:pPr>
            <w:r>
              <w:rPr>
                <w:color w:val="000000"/>
                <w:sz w:val="28"/>
                <w:szCs w:val="28"/>
              </w:rPr>
              <w:t>商服用地</w:t>
            </w:r>
          </w:p>
        </w:tc>
        <w:tc>
          <w:tcPr>
            <w:tcW w:w="1331" w:type="pct"/>
            <w:shd w:val="clear" w:color="auto" w:fill="auto"/>
            <w:vAlign w:val="center"/>
          </w:tcPr>
          <w:p w14:paraId="3D3D06EA">
            <w:pPr>
              <w:adjustRightInd w:val="0"/>
              <w:snapToGrid w:val="0"/>
              <w:spacing w:before="60" w:after="60"/>
              <w:jc w:val="center"/>
              <w:rPr>
                <w:color w:val="000000"/>
                <w:sz w:val="28"/>
                <w:szCs w:val="28"/>
              </w:rPr>
            </w:pPr>
            <w:r>
              <w:rPr>
                <w:rFonts w:hint="eastAsia"/>
                <w:color w:val="000000"/>
                <w:sz w:val="28"/>
                <w:szCs w:val="28"/>
              </w:rPr>
              <w:t>商业</w:t>
            </w:r>
            <w:r>
              <w:rPr>
                <w:color w:val="000000"/>
                <w:sz w:val="28"/>
                <w:szCs w:val="28"/>
              </w:rPr>
              <w:t>服务业用地</w:t>
            </w:r>
          </w:p>
        </w:tc>
        <w:tc>
          <w:tcPr>
            <w:tcW w:w="2192" w:type="pct"/>
            <w:shd w:val="clear" w:color="auto" w:fill="auto"/>
            <w:vAlign w:val="center"/>
          </w:tcPr>
          <w:p w14:paraId="693F1506">
            <w:pPr>
              <w:adjustRightInd w:val="0"/>
              <w:snapToGrid w:val="0"/>
              <w:spacing w:before="60" w:after="60"/>
              <w:jc w:val="center"/>
              <w:rPr>
                <w:sz w:val="28"/>
                <w:szCs w:val="28"/>
              </w:rPr>
            </w:pPr>
            <w:r>
              <w:rPr>
                <w:rFonts w:hint="eastAsia"/>
                <w:color w:val="000000"/>
                <w:sz w:val="28"/>
                <w:szCs w:val="28"/>
              </w:rPr>
              <w:t>商业用地、商务金融用地、娱乐康体用地、其他商业服务业用地等</w:t>
            </w:r>
          </w:p>
        </w:tc>
      </w:tr>
      <w:tr w14:paraId="3323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476" w:type="pct"/>
            <w:shd w:val="clear" w:color="auto" w:fill="auto"/>
            <w:vAlign w:val="center"/>
          </w:tcPr>
          <w:p w14:paraId="5C972BD4">
            <w:pPr>
              <w:adjustRightInd w:val="0"/>
              <w:snapToGrid w:val="0"/>
              <w:spacing w:before="60" w:after="60"/>
              <w:jc w:val="center"/>
              <w:rPr>
                <w:color w:val="000000"/>
                <w:sz w:val="28"/>
                <w:szCs w:val="28"/>
              </w:rPr>
            </w:pPr>
            <w:r>
              <w:rPr>
                <w:color w:val="000000"/>
                <w:sz w:val="28"/>
                <w:szCs w:val="28"/>
              </w:rPr>
              <w:t>商住混合用地</w:t>
            </w:r>
          </w:p>
        </w:tc>
        <w:tc>
          <w:tcPr>
            <w:tcW w:w="1331" w:type="pct"/>
            <w:shd w:val="clear" w:color="auto" w:fill="auto"/>
            <w:vAlign w:val="center"/>
          </w:tcPr>
          <w:p w14:paraId="2E794580">
            <w:pPr>
              <w:adjustRightInd w:val="0"/>
              <w:snapToGrid w:val="0"/>
              <w:spacing w:before="60" w:after="60"/>
              <w:jc w:val="center"/>
              <w:rPr>
                <w:color w:val="000000"/>
                <w:sz w:val="28"/>
                <w:szCs w:val="28"/>
              </w:rPr>
            </w:pPr>
            <w:r>
              <w:rPr>
                <w:rFonts w:hint="eastAsia"/>
                <w:color w:val="000000"/>
                <w:sz w:val="28"/>
                <w:szCs w:val="28"/>
              </w:rPr>
              <w:t>商业服务业用地</w:t>
            </w:r>
            <w:r>
              <w:rPr>
                <w:color w:val="000000"/>
                <w:sz w:val="28"/>
                <w:szCs w:val="28"/>
              </w:rPr>
              <w:t>、</w:t>
            </w:r>
            <w:r>
              <w:rPr>
                <w:rFonts w:hint="eastAsia"/>
                <w:color w:val="000000"/>
                <w:sz w:val="28"/>
                <w:szCs w:val="28"/>
              </w:rPr>
              <w:t>居住</w:t>
            </w:r>
            <w:r>
              <w:rPr>
                <w:color w:val="000000"/>
                <w:sz w:val="28"/>
                <w:szCs w:val="28"/>
              </w:rPr>
              <w:t>用地</w:t>
            </w:r>
          </w:p>
        </w:tc>
        <w:tc>
          <w:tcPr>
            <w:tcW w:w="2192" w:type="pct"/>
            <w:shd w:val="clear" w:color="auto" w:fill="auto"/>
            <w:vAlign w:val="center"/>
          </w:tcPr>
          <w:p w14:paraId="7D6BFF09">
            <w:pPr>
              <w:adjustRightInd w:val="0"/>
              <w:snapToGrid w:val="0"/>
              <w:spacing w:before="60" w:after="60"/>
              <w:jc w:val="center"/>
              <w:rPr>
                <w:color w:val="000000"/>
                <w:sz w:val="28"/>
                <w:szCs w:val="28"/>
              </w:rPr>
            </w:pPr>
            <w:r>
              <w:rPr>
                <w:rFonts w:hint="eastAsia"/>
                <w:color w:val="000000"/>
                <w:sz w:val="28"/>
                <w:szCs w:val="28"/>
              </w:rPr>
              <w:t>商业用地、商务金融用地、娱乐康体用地、其他商业服务业用地</w:t>
            </w:r>
            <w:r>
              <w:rPr>
                <w:color w:val="000000"/>
                <w:sz w:val="28"/>
                <w:szCs w:val="28"/>
              </w:rPr>
              <w:t>、城镇住宅用地等</w:t>
            </w:r>
          </w:p>
        </w:tc>
      </w:tr>
      <w:tr w14:paraId="6C43E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476" w:type="pct"/>
            <w:shd w:val="clear" w:color="auto" w:fill="auto"/>
            <w:vAlign w:val="center"/>
          </w:tcPr>
          <w:p w14:paraId="06C77DA3">
            <w:pPr>
              <w:adjustRightInd w:val="0"/>
              <w:snapToGrid w:val="0"/>
              <w:spacing w:before="60" w:after="60"/>
              <w:jc w:val="center"/>
              <w:rPr>
                <w:color w:val="000000"/>
                <w:sz w:val="28"/>
                <w:szCs w:val="28"/>
              </w:rPr>
            </w:pPr>
            <w:r>
              <w:rPr>
                <w:color w:val="000000"/>
                <w:sz w:val="28"/>
                <w:szCs w:val="28"/>
              </w:rPr>
              <w:t>工业用地</w:t>
            </w:r>
          </w:p>
        </w:tc>
        <w:tc>
          <w:tcPr>
            <w:tcW w:w="1331" w:type="pct"/>
            <w:shd w:val="clear" w:color="auto" w:fill="auto"/>
            <w:vAlign w:val="center"/>
          </w:tcPr>
          <w:p w14:paraId="2E2B9B00">
            <w:pPr>
              <w:adjustRightInd w:val="0"/>
              <w:snapToGrid w:val="0"/>
              <w:spacing w:before="60" w:after="60"/>
              <w:jc w:val="center"/>
              <w:rPr>
                <w:color w:val="000000"/>
                <w:sz w:val="28"/>
                <w:szCs w:val="28"/>
              </w:rPr>
            </w:pPr>
            <w:r>
              <w:rPr>
                <w:rFonts w:hint="eastAsia"/>
                <w:color w:val="000000"/>
                <w:sz w:val="28"/>
                <w:szCs w:val="28"/>
              </w:rPr>
              <w:t>工矿</w:t>
            </w:r>
            <w:r>
              <w:rPr>
                <w:color w:val="000000"/>
                <w:sz w:val="28"/>
                <w:szCs w:val="28"/>
              </w:rPr>
              <w:t>用地</w:t>
            </w:r>
            <w:r>
              <w:rPr>
                <w:rFonts w:hint="eastAsia"/>
                <w:color w:val="000000"/>
                <w:sz w:val="28"/>
                <w:szCs w:val="28"/>
              </w:rPr>
              <w:t>、仓储用地</w:t>
            </w:r>
          </w:p>
        </w:tc>
        <w:tc>
          <w:tcPr>
            <w:tcW w:w="2192" w:type="pct"/>
            <w:shd w:val="clear" w:color="auto" w:fill="auto"/>
            <w:vAlign w:val="center"/>
          </w:tcPr>
          <w:p w14:paraId="59E61F19">
            <w:pPr>
              <w:adjustRightInd w:val="0"/>
              <w:snapToGrid w:val="0"/>
              <w:spacing w:before="60" w:after="60"/>
              <w:jc w:val="center"/>
              <w:rPr>
                <w:color w:val="000000"/>
                <w:sz w:val="28"/>
                <w:szCs w:val="28"/>
              </w:rPr>
            </w:pPr>
            <w:r>
              <w:rPr>
                <w:color w:val="000000"/>
                <w:sz w:val="28"/>
                <w:szCs w:val="28"/>
              </w:rPr>
              <w:t>工业用地</w:t>
            </w:r>
            <w:r>
              <w:rPr>
                <w:rFonts w:hint="eastAsia"/>
                <w:color w:val="000000"/>
                <w:sz w:val="28"/>
                <w:szCs w:val="28"/>
              </w:rPr>
              <w:t>、</w:t>
            </w:r>
            <w:r>
              <w:rPr>
                <w:color w:val="000000"/>
                <w:sz w:val="28"/>
                <w:szCs w:val="28"/>
              </w:rPr>
              <w:t>物流仓储用地等</w:t>
            </w:r>
          </w:p>
        </w:tc>
      </w:tr>
      <w:tr w14:paraId="20E81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476" w:type="pct"/>
            <w:shd w:val="clear" w:color="auto" w:fill="auto"/>
            <w:vAlign w:val="center"/>
          </w:tcPr>
          <w:p w14:paraId="035892E6">
            <w:pPr>
              <w:adjustRightInd w:val="0"/>
              <w:snapToGrid w:val="0"/>
              <w:spacing w:before="60" w:after="60"/>
              <w:jc w:val="center"/>
              <w:rPr>
                <w:color w:val="000000"/>
                <w:sz w:val="28"/>
                <w:szCs w:val="28"/>
              </w:rPr>
            </w:pPr>
            <w:r>
              <w:rPr>
                <w:color w:val="000000"/>
                <w:sz w:val="28"/>
                <w:szCs w:val="28"/>
              </w:rPr>
              <w:t>公共管理与公共服务用地</w:t>
            </w:r>
          </w:p>
        </w:tc>
        <w:tc>
          <w:tcPr>
            <w:tcW w:w="1331" w:type="pct"/>
            <w:shd w:val="clear" w:color="auto" w:fill="auto"/>
            <w:vAlign w:val="center"/>
          </w:tcPr>
          <w:p w14:paraId="78084583">
            <w:pPr>
              <w:adjustRightInd w:val="0"/>
              <w:snapToGrid w:val="0"/>
              <w:spacing w:before="60" w:after="60"/>
              <w:jc w:val="center"/>
              <w:rPr>
                <w:color w:val="000000"/>
                <w:sz w:val="28"/>
                <w:szCs w:val="28"/>
              </w:rPr>
            </w:pPr>
            <w:r>
              <w:rPr>
                <w:color w:val="000000"/>
                <w:sz w:val="28"/>
                <w:szCs w:val="28"/>
              </w:rPr>
              <w:t>公共管理与公共服务用地</w:t>
            </w:r>
          </w:p>
        </w:tc>
        <w:tc>
          <w:tcPr>
            <w:tcW w:w="2192" w:type="pct"/>
            <w:shd w:val="clear" w:color="auto" w:fill="auto"/>
            <w:vAlign w:val="center"/>
          </w:tcPr>
          <w:p w14:paraId="705FA920">
            <w:pPr>
              <w:adjustRightInd w:val="0"/>
              <w:snapToGrid w:val="0"/>
              <w:spacing w:before="60" w:after="60"/>
              <w:jc w:val="center"/>
              <w:rPr>
                <w:color w:val="000000"/>
                <w:sz w:val="28"/>
                <w:szCs w:val="28"/>
              </w:rPr>
            </w:pPr>
            <w:r>
              <w:rPr>
                <w:rFonts w:hint="eastAsia"/>
                <w:color w:val="000000"/>
                <w:sz w:val="28"/>
                <w:szCs w:val="28"/>
              </w:rPr>
              <w:t>科研用地、教育用地等</w:t>
            </w:r>
          </w:p>
        </w:tc>
      </w:tr>
      <w:tr w14:paraId="5341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1476" w:type="pct"/>
            <w:shd w:val="clear" w:color="auto" w:fill="auto"/>
            <w:vAlign w:val="center"/>
          </w:tcPr>
          <w:p w14:paraId="02F7312F">
            <w:pPr>
              <w:adjustRightInd w:val="0"/>
              <w:snapToGrid w:val="0"/>
              <w:spacing w:before="60" w:after="60"/>
              <w:jc w:val="center"/>
              <w:rPr>
                <w:sz w:val="28"/>
                <w:szCs w:val="28"/>
              </w:rPr>
            </w:pPr>
            <w:r>
              <w:rPr>
                <w:color w:val="000000"/>
                <w:sz w:val="28"/>
                <w:szCs w:val="28"/>
              </w:rPr>
              <w:t>公用设施用地</w:t>
            </w:r>
          </w:p>
        </w:tc>
        <w:tc>
          <w:tcPr>
            <w:tcW w:w="1331" w:type="pct"/>
            <w:shd w:val="clear" w:color="auto" w:fill="auto"/>
            <w:vAlign w:val="center"/>
          </w:tcPr>
          <w:p w14:paraId="60269B0F">
            <w:pPr>
              <w:adjustRightInd w:val="0"/>
              <w:snapToGrid w:val="0"/>
              <w:spacing w:before="60" w:after="60"/>
              <w:jc w:val="center"/>
              <w:rPr>
                <w:sz w:val="28"/>
                <w:szCs w:val="28"/>
              </w:rPr>
            </w:pPr>
            <w:r>
              <w:rPr>
                <w:color w:val="000000"/>
                <w:sz w:val="28"/>
                <w:szCs w:val="28"/>
              </w:rPr>
              <w:t>公用设施用地</w:t>
            </w:r>
          </w:p>
        </w:tc>
        <w:tc>
          <w:tcPr>
            <w:tcW w:w="2192" w:type="pct"/>
            <w:shd w:val="clear" w:color="auto" w:fill="auto"/>
            <w:vAlign w:val="center"/>
          </w:tcPr>
          <w:p w14:paraId="44177720">
            <w:pPr>
              <w:adjustRightInd w:val="0"/>
              <w:snapToGrid w:val="0"/>
              <w:spacing w:before="60" w:after="60"/>
              <w:jc w:val="center"/>
              <w:rPr>
                <w:color w:val="000000"/>
                <w:sz w:val="28"/>
                <w:szCs w:val="28"/>
              </w:rPr>
            </w:pPr>
            <w:r>
              <w:rPr>
                <w:rFonts w:hint="eastAsia" w:hAnsi="宋体" w:cs="宋体"/>
                <w:sz w:val="28"/>
                <w:szCs w:val="28"/>
              </w:rPr>
              <w:t>供水用地、供电用地、排水用地等</w:t>
            </w:r>
          </w:p>
        </w:tc>
      </w:tr>
    </w:tbl>
    <w:p w14:paraId="60ED8784">
      <w:pPr>
        <w:spacing w:line="560" w:lineRule="exact"/>
        <w:ind w:firstLine="640" w:firstLineChars="200"/>
        <w:rPr>
          <w:sz w:val="32"/>
          <w:szCs w:val="32"/>
        </w:rPr>
      </w:pPr>
      <w:r>
        <w:rPr>
          <w:rFonts w:hint="eastAsia"/>
          <w:sz w:val="32"/>
          <w:szCs w:val="32"/>
          <w:lang w:val="en-US" w:eastAsia="zh-CN"/>
        </w:rPr>
        <w:t>五</w:t>
      </w:r>
      <w:r>
        <w:rPr>
          <w:sz w:val="32"/>
          <w:szCs w:val="32"/>
        </w:rPr>
        <w:t>、标定地价</w:t>
      </w:r>
      <w:r>
        <w:rPr>
          <w:rFonts w:hint="eastAsia"/>
          <w:sz w:val="32"/>
          <w:szCs w:val="32"/>
        </w:rPr>
        <w:t>成果</w:t>
      </w:r>
      <w:r>
        <w:rPr>
          <w:sz w:val="32"/>
          <w:szCs w:val="32"/>
        </w:rPr>
        <w:t>将标定区域、标准宗地和公示信息表予以公布。</w:t>
      </w:r>
    </w:p>
    <w:p w14:paraId="1374BE54">
      <w:pPr>
        <w:spacing w:line="560" w:lineRule="exact"/>
        <w:ind w:firstLine="643" w:firstLineChars="201"/>
        <w:rPr>
          <w:sz w:val="32"/>
          <w:szCs w:val="32"/>
        </w:rPr>
      </w:pPr>
      <w:r>
        <w:rPr>
          <w:rFonts w:hint="eastAsia"/>
          <w:sz w:val="32"/>
          <w:szCs w:val="32"/>
          <w:lang w:val="en-US" w:eastAsia="zh-CN"/>
        </w:rPr>
        <w:t>六</w:t>
      </w:r>
      <w:r>
        <w:rPr>
          <w:sz w:val="32"/>
          <w:szCs w:val="32"/>
        </w:rPr>
        <w:t>、江门市蓬江区自然资源局将根据土地市场变化情况对标定地价进行更新修订，经区政府批准后，对外公布执行。</w:t>
      </w:r>
    </w:p>
    <w:sectPr>
      <w:headerReference r:id="rId3" w:type="default"/>
      <w:pgSz w:w="11906" w:h="16838"/>
      <w:pgMar w:top="1440" w:right="1800" w:bottom="1440" w:left="180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0E83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814"/>
    <w:rsid w:val="00000BB9"/>
    <w:rsid w:val="00006694"/>
    <w:rsid w:val="00006C27"/>
    <w:rsid w:val="00007D90"/>
    <w:rsid w:val="0004365F"/>
    <w:rsid w:val="0005134F"/>
    <w:rsid w:val="000553CD"/>
    <w:rsid w:val="00056785"/>
    <w:rsid w:val="000677BB"/>
    <w:rsid w:val="00076E0E"/>
    <w:rsid w:val="00077FB1"/>
    <w:rsid w:val="00096EDB"/>
    <w:rsid w:val="000A0721"/>
    <w:rsid w:val="000B29E3"/>
    <w:rsid w:val="000B2EE1"/>
    <w:rsid w:val="000B58B5"/>
    <w:rsid w:val="000C6C14"/>
    <w:rsid w:val="00121B58"/>
    <w:rsid w:val="00122CB2"/>
    <w:rsid w:val="00130B2D"/>
    <w:rsid w:val="001408AD"/>
    <w:rsid w:val="00142AEE"/>
    <w:rsid w:val="00146929"/>
    <w:rsid w:val="00163962"/>
    <w:rsid w:val="00192FD2"/>
    <w:rsid w:val="001B19A4"/>
    <w:rsid w:val="001C7281"/>
    <w:rsid w:val="001F7FAE"/>
    <w:rsid w:val="00211274"/>
    <w:rsid w:val="00227865"/>
    <w:rsid w:val="00252311"/>
    <w:rsid w:val="00254D86"/>
    <w:rsid w:val="00255346"/>
    <w:rsid w:val="002A3BBA"/>
    <w:rsid w:val="002A5772"/>
    <w:rsid w:val="002B6BA5"/>
    <w:rsid w:val="002B7C5A"/>
    <w:rsid w:val="002D2218"/>
    <w:rsid w:val="002E18E7"/>
    <w:rsid w:val="002F2D65"/>
    <w:rsid w:val="002F6B18"/>
    <w:rsid w:val="00314965"/>
    <w:rsid w:val="0032602B"/>
    <w:rsid w:val="003702CB"/>
    <w:rsid w:val="00380D9E"/>
    <w:rsid w:val="00381E10"/>
    <w:rsid w:val="003C71A3"/>
    <w:rsid w:val="00402991"/>
    <w:rsid w:val="0041481B"/>
    <w:rsid w:val="004224DE"/>
    <w:rsid w:val="00426AF2"/>
    <w:rsid w:val="00432C5A"/>
    <w:rsid w:val="00453A98"/>
    <w:rsid w:val="004945A9"/>
    <w:rsid w:val="004A3814"/>
    <w:rsid w:val="004C1CD4"/>
    <w:rsid w:val="004C2F70"/>
    <w:rsid w:val="004C76A9"/>
    <w:rsid w:val="005051D2"/>
    <w:rsid w:val="00507DC8"/>
    <w:rsid w:val="0051470F"/>
    <w:rsid w:val="00531A84"/>
    <w:rsid w:val="005355B8"/>
    <w:rsid w:val="00570B25"/>
    <w:rsid w:val="00594B52"/>
    <w:rsid w:val="00597E08"/>
    <w:rsid w:val="005A3E6C"/>
    <w:rsid w:val="005B7B9C"/>
    <w:rsid w:val="005C4AD6"/>
    <w:rsid w:val="005D6AD0"/>
    <w:rsid w:val="005E6F67"/>
    <w:rsid w:val="005F5048"/>
    <w:rsid w:val="00637476"/>
    <w:rsid w:val="00681DA1"/>
    <w:rsid w:val="00682A82"/>
    <w:rsid w:val="00687CF4"/>
    <w:rsid w:val="006A73F2"/>
    <w:rsid w:val="006C0534"/>
    <w:rsid w:val="006E332B"/>
    <w:rsid w:val="0073469E"/>
    <w:rsid w:val="00797CE6"/>
    <w:rsid w:val="007D0AD8"/>
    <w:rsid w:val="007D2F5A"/>
    <w:rsid w:val="007E0EEB"/>
    <w:rsid w:val="007E66F6"/>
    <w:rsid w:val="007F5477"/>
    <w:rsid w:val="00814431"/>
    <w:rsid w:val="0081576C"/>
    <w:rsid w:val="008238C6"/>
    <w:rsid w:val="00824967"/>
    <w:rsid w:val="00833A76"/>
    <w:rsid w:val="0086296C"/>
    <w:rsid w:val="00873596"/>
    <w:rsid w:val="00875BAC"/>
    <w:rsid w:val="00882F09"/>
    <w:rsid w:val="00896AEE"/>
    <w:rsid w:val="008B1B91"/>
    <w:rsid w:val="008D2D92"/>
    <w:rsid w:val="0092050A"/>
    <w:rsid w:val="0092065F"/>
    <w:rsid w:val="00942A16"/>
    <w:rsid w:val="009435D5"/>
    <w:rsid w:val="0094593F"/>
    <w:rsid w:val="009466EA"/>
    <w:rsid w:val="00951696"/>
    <w:rsid w:val="009663F0"/>
    <w:rsid w:val="009814BB"/>
    <w:rsid w:val="00981EEF"/>
    <w:rsid w:val="00985FE2"/>
    <w:rsid w:val="009A1695"/>
    <w:rsid w:val="009C6AF0"/>
    <w:rsid w:val="009F0962"/>
    <w:rsid w:val="009F490C"/>
    <w:rsid w:val="009F4F11"/>
    <w:rsid w:val="009F58E1"/>
    <w:rsid w:val="00A10968"/>
    <w:rsid w:val="00A17E0E"/>
    <w:rsid w:val="00A32E34"/>
    <w:rsid w:val="00A40D86"/>
    <w:rsid w:val="00A47D43"/>
    <w:rsid w:val="00A73EDE"/>
    <w:rsid w:val="00AA239A"/>
    <w:rsid w:val="00AB21DD"/>
    <w:rsid w:val="00AB24D6"/>
    <w:rsid w:val="00AE3E19"/>
    <w:rsid w:val="00AE74BD"/>
    <w:rsid w:val="00B103D7"/>
    <w:rsid w:val="00B16E09"/>
    <w:rsid w:val="00B30673"/>
    <w:rsid w:val="00B77C6E"/>
    <w:rsid w:val="00BC5B7F"/>
    <w:rsid w:val="00BE730B"/>
    <w:rsid w:val="00BE7C2D"/>
    <w:rsid w:val="00C27DEE"/>
    <w:rsid w:val="00C314A1"/>
    <w:rsid w:val="00C37407"/>
    <w:rsid w:val="00C3761B"/>
    <w:rsid w:val="00C5558E"/>
    <w:rsid w:val="00C61052"/>
    <w:rsid w:val="00C6119A"/>
    <w:rsid w:val="00CA4E62"/>
    <w:rsid w:val="00CB3663"/>
    <w:rsid w:val="00CB396E"/>
    <w:rsid w:val="00CD626F"/>
    <w:rsid w:val="00CE4EEE"/>
    <w:rsid w:val="00CF2A81"/>
    <w:rsid w:val="00D00F8F"/>
    <w:rsid w:val="00D33262"/>
    <w:rsid w:val="00D361B2"/>
    <w:rsid w:val="00D44173"/>
    <w:rsid w:val="00D67757"/>
    <w:rsid w:val="00DB1270"/>
    <w:rsid w:val="00DB2FFB"/>
    <w:rsid w:val="00DB7826"/>
    <w:rsid w:val="00DC1BC4"/>
    <w:rsid w:val="00DE57B3"/>
    <w:rsid w:val="00DF3812"/>
    <w:rsid w:val="00E0775F"/>
    <w:rsid w:val="00E138F1"/>
    <w:rsid w:val="00E25675"/>
    <w:rsid w:val="00E3346E"/>
    <w:rsid w:val="00E41E82"/>
    <w:rsid w:val="00E71E8A"/>
    <w:rsid w:val="00E87AE4"/>
    <w:rsid w:val="00EA3950"/>
    <w:rsid w:val="00EE3391"/>
    <w:rsid w:val="00F01C67"/>
    <w:rsid w:val="00F13363"/>
    <w:rsid w:val="00F965B2"/>
    <w:rsid w:val="00FA5BFF"/>
    <w:rsid w:val="00FC2887"/>
    <w:rsid w:val="2D16291B"/>
    <w:rsid w:val="62AB42A5"/>
    <w:rsid w:val="69FA751A"/>
    <w:rsid w:val="705F61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paragraph" w:styleId="2">
    <w:name w:val="heading 1"/>
    <w:basedOn w:val="3"/>
    <w:next w:val="1"/>
    <w:link w:val="19"/>
    <w:qFormat/>
    <w:uiPriority w:val="99"/>
    <w:pPr>
      <w:adjustRightInd w:val="0"/>
      <w:snapToGrid w:val="0"/>
      <w:spacing w:beforeLines="50" w:afterLines="50" w:line="360" w:lineRule="auto"/>
      <w:ind w:firstLine="560" w:firstLineChars="200"/>
      <w:jc w:val="center"/>
      <w:outlineLvl w:val="0"/>
    </w:pPr>
    <w:rPr>
      <w:rFonts w:ascii="Times New Roman" w:eastAsia="华文中宋"/>
      <w:kern w:val="48"/>
      <w:szCs w:val="20"/>
      <w:shd w:val="clear" w:color="auto" w:fill="FFFFFF"/>
    </w:rPr>
  </w:style>
  <w:style w:type="paragraph" w:styleId="3">
    <w:name w:val="heading 2"/>
    <w:basedOn w:val="4"/>
    <w:next w:val="1"/>
    <w:link w:val="18"/>
    <w:qFormat/>
    <w:uiPriority w:val="0"/>
    <w:pPr>
      <w:outlineLvl w:val="1"/>
    </w:pPr>
    <w:rPr>
      <w:bCs w:val="0"/>
      <w:szCs w:val="30"/>
      <w:lang w:val="zh-CN"/>
    </w:rPr>
  </w:style>
  <w:style w:type="paragraph" w:styleId="4">
    <w:name w:val="heading 3"/>
    <w:basedOn w:val="1"/>
    <w:next w:val="1"/>
    <w:link w:val="17"/>
    <w:qFormat/>
    <w:uiPriority w:val="99"/>
    <w:pPr>
      <w:keepNext/>
      <w:keepLines/>
      <w:spacing w:beforeLines="30" w:afterLines="30" w:line="400" w:lineRule="exact"/>
      <w:outlineLvl w:val="2"/>
    </w:pPr>
    <w:rPr>
      <w:rFonts w:ascii="仿宋_GB2312"/>
      <w:b/>
      <w:bCs/>
      <w:kern w:val="44"/>
      <w:sz w:val="24"/>
      <w:szCs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unhideWhenUsed/>
    <w:qFormat/>
    <w:uiPriority w:val="0"/>
    <w:pPr>
      <w:jc w:val="left"/>
    </w:pPr>
  </w:style>
  <w:style w:type="paragraph" w:styleId="6">
    <w:name w:val="Balloon Text"/>
    <w:basedOn w:val="1"/>
    <w:link w:val="21"/>
    <w:semiHidden/>
    <w:unhideWhenUsed/>
    <w:qFormat/>
    <w:uiPriority w:val="99"/>
    <w:rPr>
      <w:sz w:val="18"/>
      <w:szCs w:val="18"/>
    </w:rPr>
  </w:style>
  <w:style w:type="paragraph" w:styleId="7">
    <w:name w:val="footer"/>
    <w:basedOn w:val="1"/>
    <w:link w:val="22"/>
    <w:unhideWhenUsed/>
    <w:qFormat/>
    <w:uiPriority w:val="99"/>
    <w:pPr>
      <w:tabs>
        <w:tab w:val="center" w:pos="4153"/>
        <w:tab w:val="right" w:pos="8306"/>
      </w:tabs>
      <w:snapToGrid w:val="0"/>
      <w:jc w:val="left"/>
    </w:pPr>
    <w:rPr>
      <w:rFonts w:ascii="Calibri" w:hAnsi="Calibri" w:eastAsia="宋体"/>
      <w:sz w:val="18"/>
      <w:szCs w:val="18"/>
    </w:rPr>
  </w:style>
  <w:style w:type="paragraph" w:styleId="8">
    <w:name w:val="header"/>
    <w:basedOn w:val="1"/>
    <w:link w:val="23"/>
    <w:unhideWhenUsed/>
    <w:qFormat/>
    <w:uiPriority w:val="99"/>
    <w:pPr>
      <w:pBdr>
        <w:bottom w:val="single" w:color="auto" w:sz="6" w:space="1"/>
      </w:pBdr>
      <w:tabs>
        <w:tab w:val="center" w:pos="4153"/>
        <w:tab w:val="right" w:pos="8306"/>
      </w:tabs>
      <w:snapToGrid w:val="0"/>
      <w:jc w:val="center"/>
    </w:pPr>
    <w:rPr>
      <w:rFonts w:ascii="Calibri" w:hAnsi="Calibri" w:eastAsia="宋体"/>
      <w:sz w:val="18"/>
      <w:szCs w:val="18"/>
    </w:rPr>
  </w:style>
  <w:style w:type="paragraph" w:styleId="9">
    <w:name w:val="Subtitle"/>
    <w:next w:val="3"/>
    <w:link w:val="24"/>
    <w:qFormat/>
    <w:uiPriority w:val="11"/>
    <w:pPr>
      <w:widowControl w:val="0"/>
      <w:spacing w:beforeLines="50" w:afterLines="50" w:line="360" w:lineRule="auto"/>
      <w:outlineLvl w:val="1"/>
    </w:pPr>
    <w:rPr>
      <w:rFonts w:ascii="Times New Roman" w:hAnsi="Times New Roman" w:eastAsia="华文中宋" w:cs="Times New Roman"/>
      <w:b/>
      <w:bCs/>
      <w:sz w:val="36"/>
      <w:szCs w:val="32"/>
      <w:lang w:val="en-US" w:eastAsia="zh-CN" w:bidi="ar-SA"/>
    </w:rPr>
  </w:style>
  <w:style w:type="paragraph" w:styleId="10">
    <w:name w:val="Normal (Web)"/>
    <w:basedOn w:val="1"/>
    <w:qFormat/>
    <w:uiPriority w:val="0"/>
    <w:pPr>
      <w:widowControl/>
      <w:spacing w:before="100" w:beforeAutospacing="1" w:after="100" w:afterAutospacing="1"/>
      <w:jc w:val="left"/>
    </w:pPr>
    <w:rPr>
      <w:rFonts w:ascii="宋体" w:hAnsi="宋体" w:eastAsia="宋体"/>
      <w:color w:val="000000"/>
      <w:kern w:val="0"/>
      <w:sz w:val="18"/>
      <w:szCs w:val="18"/>
    </w:rPr>
  </w:style>
  <w:style w:type="paragraph" w:styleId="11">
    <w:name w:val="Title"/>
    <w:next w:val="2"/>
    <w:link w:val="25"/>
    <w:qFormat/>
    <w:uiPriority w:val="10"/>
    <w:pPr>
      <w:widowControl w:val="0"/>
      <w:spacing w:beforeLines="200" w:afterLines="100" w:line="360" w:lineRule="auto"/>
      <w:jc w:val="center"/>
      <w:outlineLvl w:val="0"/>
    </w:pPr>
    <w:rPr>
      <w:rFonts w:ascii="Times New Roman" w:hAnsi="Times New Roman" w:eastAsia="华文中宋" w:cs="Times New Roman"/>
      <w:b/>
      <w:bCs/>
      <w:sz w:val="44"/>
      <w:szCs w:val="32"/>
      <w:lang w:val="en-US" w:eastAsia="zh-CN" w:bidi="ar-SA"/>
    </w:rPr>
  </w:style>
  <w:style w:type="paragraph" w:styleId="12">
    <w:name w:val="annotation subject"/>
    <w:basedOn w:val="5"/>
    <w:next w:val="5"/>
    <w:link w:val="26"/>
    <w:semiHidden/>
    <w:unhideWhenUsed/>
    <w:qFormat/>
    <w:uiPriority w:val="99"/>
    <w:rPr>
      <w:b/>
      <w:bCs/>
    </w:rPr>
  </w:style>
  <w:style w:type="table" w:styleId="14">
    <w:name w:val="Table Grid"/>
    <w:basedOn w:val="13"/>
    <w:qFormat/>
    <w:uiPriority w:val="99"/>
    <w:pPr>
      <w:widowControl w:val="0"/>
      <w:spacing w:beforeLines="30" w:afterLines="30" w:line="300" w:lineRule="auto"/>
      <w:ind w:firstLine="480" w:firstLineChars="20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annotation reference"/>
    <w:semiHidden/>
    <w:unhideWhenUsed/>
    <w:qFormat/>
    <w:uiPriority w:val="99"/>
    <w:rPr>
      <w:sz w:val="21"/>
      <w:szCs w:val="21"/>
    </w:rPr>
  </w:style>
  <w:style w:type="character" w:customStyle="1" w:styleId="17">
    <w:name w:val="标题 3 Char"/>
    <w:link w:val="4"/>
    <w:qFormat/>
    <w:uiPriority w:val="99"/>
    <w:rPr>
      <w:rFonts w:ascii="仿宋_GB2312" w:hAnsi="Times New Roman" w:eastAsia="仿宋_GB2312" w:cs="Times New Roman"/>
      <w:b/>
      <w:bCs/>
      <w:kern w:val="44"/>
      <w:sz w:val="24"/>
      <w:szCs w:val="28"/>
    </w:rPr>
  </w:style>
  <w:style w:type="character" w:customStyle="1" w:styleId="18">
    <w:name w:val="标题 2 Char"/>
    <w:link w:val="3"/>
    <w:qFormat/>
    <w:uiPriority w:val="0"/>
    <w:rPr>
      <w:rFonts w:ascii="仿宋_GB2312" w:hAnsi="Times New Roman" w:eastAsia="仿宋_GB2312" w:cs="Times New Roman"/>
      <w:b/>
      <w:kern w:val="44"/>
      <w:sz w:val="24"/>
      <w:szCs w:val="30"/>
      <w:lang w:val="zh-CN"/>
    </w:rPr>
  </w:style>
  <w:style w:type="character" w:customStyle="1" w:styleId="19">
    <w:name w:val="标题 1 Char"/>
    <w:link w:val="2"/>
    <w:qFormat/>
    <w:uiPriority w:val="99"/>
    <w:rPr>
      <w:rFonts w:ascii="Times New Roman" w:hAnsi="Times New Roman" w:eastAsia="华文中宋" w:cs="Times New Roman"/>
      <w:b/>
      <w:kern w:val="48"/>
      <w:sz w:val="24"/>
      <w:szCs w:val="20"/>
      <w:lang w:val="zh-CN"/>
    </w:rPr>
  </w:style>
  <w:style w:type="character" w:customStyle="1" w:styleId="20">
    <w:name w:val="批注文字 Char"/>
    <w:link w:val="5"/>
    <w:qFormat/>
    <w:uiPriority w:val="0"/>
    <w:rPr>
      <w:rFonts w:ascii="Times New Roman" w:hAnsi="Times New Roman" w:eastAsia="仿宋_GB2312" w:cs="Times New Roman"/>
      <w:sz w:val="32"/>
      <w:szCs w:val="32"/>
    </w:rPr>
  </w:style>
  <w:style w:type="character" w:customStyle="1" w:styleId="21">
    <w:name w:val="批注框文本 Char"/>
    <w:link w:val="6"/>
    <w:semiHidden/>
    <w:qFormat/>
    <w:uiPriority w:val="99"/>
    <w:rPr>
      <w:rFonts w:ascii="Times New Roman" w:hAnsi="Times New Roman" w:eastAsia="仿宋_GB2312" w:cs="Times New Roman"/>
      <w:sz w:val="18"/>
      <w:szCs w:val="18"/>
    </w:rPr>
  </w:style>
  <w:style w:type="character" w:customStyle="1" w:styleId="22">
    <w:name w:val="页脚 Char"/>
    <w:link w:val="7"/>
    <w:qFormat/>
    <w:uiPriority w:val="99"/>
    <w:rPr>
      <w:sz w:val="18"/>
      <w:szCs w:val="18"/>
    </w:rPr>
  </w:style>
  <w:style w:type="character" w:customStyle="1" w:styleId="23">
    <w:name w:val="页眉 Char"/>
    <w:link w:val="8"/>
    <w:qFormat/>
    <w:uiPriority w:val="99"/>
    <w:rPr>
      <w:sz w:val="18"/>
      <w:szCs w:val="18"/>
    </w:rPr>
  </w:style>
  <w:style w:type="character" w:customStyle="1" w:styleId="24">
    <w:name w:val="副标题 Char"/>
    <w:link w:val="9"/>
    <w:qFormat/>
    <w:uiPriority w:val="11"/>
    <w:rPr>
      <w:rFonts w:ascii="Times New Roman" w:hAnsi="Times New Roman" w:eastAsia="华文中宋" w:cs="Times New Roman"/>
      <w:b/>
      <w:bCs/>
      <w:sz w:val="36"/>
      <w:szCs w:val="32"/>
      <w:lang w:val="en-US" w:eastAsia="zh-CN" w:bidi="ar-SA"/>
    </w:rPr>
  </w:style>
  <w:style w:type="character" w:customStyle="1" w:styleId="25">
    <w:name w:val="标题 Char"/>
    <w:link w:val="11"/>
    <w:qFormat/>
    <w:uiPriority w:val="10"/>
    <w:rPr>
      <w:rFonts w:ascii="Times New Roman" w:hAnsi="Times New Roman" w:eastAsia="华文中宋" w:cs="Times New Roman"/>
      <w:b/>
      <w:bCs/>
      <w:sz w:val="44"/>
      <w:szCs w:val="32"/>
      <w:lang w:val="en-US" w:eastAsia="zh-CN" w:bidi="ar-SA"/>
    </w:rPr>
  </w:style>
  <w:style w:type="character" w:customStyle="1" w:styleId="26">
    <w:name w:val="批注主题 Char"/>
    <w:link w:val="12"/>
    <w:semiHidden/>
    <w:qFormat/>
    <w:uiPriority w:val="99"/>
    <w:rPr>
      <w:rFonts w:ascii="Times New Roman" w:hAnsi="Times New Roman" w:eastAsia="仿宋_GB2312" w:cs="Times New Roman"/>
      <w:b/>
      <w:bCs/>
      <w:sz w:val="32"/>
      <w:szCs w:val="32"/>
    </w:rPr>
  </w:style>
  <w:style w:type="paragraph" w:customStyle="1" w:styleId="27">
    <w:name w:val="Char Char Char Char Char Char1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28">
    <w:name w:val="00-正文"/>
    <w:qFormat/>
    <w:uiPriority w:val="0"/>
    <w:pPr>
      <w:widowControl w:val="0"/>
      <w:spacing w:line="560" w:lineRule="exact"/>
      <w:ind w:firstLine="200" w:firstLineChars="200"/>
      <w:jc w:val="both"/>
      <w:textAlignment w:val="center"/>
    </w:pPr>
    <w:rPr>
      <w:rFonts w:ascii="Times New Roman" w:hAnsi="Times New Roman" w:eastAsia="仿宋_GB2312" w:cs="Times New Roman"/>
      <w:sz w:val="28"/>
      <w:szCs w:val="22"/>
      <w:lang w:val="zh-CN" w:eastAsia="zh-CN" w:bidi="ar-SA"/>
    </w:rPr>
  </w:style>
  <w:style w:type="paragraph" w:customStyle="1" w:styleId="29">
    <w:name w:val="07－图表号"/>
    <w:qFormat/>
    <w:uiPriority w:val="0"/>
    <w:pPr>
      <w:spacing w:line="360" w:lineRule="auto"/>
      <w:jc w:val="center"/>
    </w:pPr>
    <w:rPr>
      <w:rFonts w:ascii="Times New Roman" w:hAnsi="Times New Roman" w:eastAsia="仿宋_GB2312" w:cs="Times New Roman"/>
      <w:b/>
      <w:spacing w:val="6"/>
      <w:kern w:val="28"/>
      <w:sz w:val="24"/>
      <w:szCs w:val="28"/>
      <w:lang w:val="en-US" w:eastAsia="zh-CN" w:bidi="ar-SA"/>
    </w:rPr>
  </w:style>
  <w:style w:type="paragraph" w:customStyle="1" w:styleId="30">
    <w:name w:val="3级-cx"/>
    <w:basedOn w:val="4"/>
    <w:qFormat/>
    <w:uiPriority w:val="0"/>
    <w:pPr>
      <w:spacing w:beforeLines="25" w:afterLines="25" w:line="300" w:lineRule="auto"/>
      <w:ind w:firstLine="482"/>
    </w:pPr>
  </w:style>
  <w:style w:type="paragraph" w:customStyle="1" w:styleId="31">
    <w:name w:val="95-公式"/>
    <w:qFormat/>
    <w:uiPriority w:val="0"/>
    <w:pPr>
      <w:widowControl w:val="0"/>
      <w:spacing w:beforeLines="20" w:afterLines="20"/>
      <w:jc w:val="center"/>
    </w:pPr>
    <w:rPr>
      <w:rFonts w:ascii="Times New Roman" w:hAnsi="Times New Roman" w:eastAsia="仿宋_GB2312" w:cs="Times New Roman"/>
      <w:sz w:val="28"/>
      <w:szCs w:val="22"/>
      <w:lang w:val="en-US" w:eastAsia="zh-CN" w:bidi="ar-SA"/>
    </w:rPr>
  </w:style>
  <w:style w:type="paragraph" w:customStyle="1" w:styleId="32">
    <w:name w:val="9-2表内容"/>
    <w:basedOn w:val="28"/>
    <w:qFormat/>
    <w:uiPriority w:val="0"/>
    <w:pPr>
      <w:spacing w:line="240" w:lineRule="auto"/>
      <w:ind w:firstLine="0" w:firstLineChars="0"/>
      <w:jc w:val="center"/>
    </w:pPr>
    <w:rPr>
      <w:sz w:val="21"/>
    </w:rPr>
  </w:style>
  <w:style w:type="paragraph" w:customStyle="1" w:styleId="33">
    <w:name w:val="9-3表下标"/>
    <w:qFormat/>
    <w:uiPriority w:val="0"/>
    <w:pPr>
      <w:ind w:left="50" w:leftChars="50" w:hanging="425" w:hangingChars="200"/>
    </w:pPr>
    <w:rPr>
      <w:rFonts w:ascii="Times New Roman" w:hAnsi="Times New Roman" w:eastAsia="仿宋_GB2312" w:cs="Times New Roman"/>
      <w:sz w:val="21"/>
      <w:szCs w:val="22"/>
      <w:lang w:val="zh-CN" w:eastAsia="zh-CN" w:bidi="ar-SA"/>
    </w:rPr>
  </w:style>
  <w:style w:type="paragraph" w:customStyle="1" w:styleId="34">
    <w:name w:val="font5"/>
    <w:basedOn w:val="1"/>
    <w:qFormat/>
    <w:uiPriority w:val="0"/>
    <w:pPr>
      <w:widowControl/>
      <w:spacing w:before="100" w:beforeAutospacing="1" w:after="100" w:afterAutospacing="1"/>
      <w:jc w:val="left"/>
    </w:pPr>
    <w:rPr>
      <w:rFonts w:ascii="宋体" w:hAnsi="宋体" w:eastAsia="宋体" w:cs="宋体"/>
      <w:kern w:val="0"/>
      <w:sz w:val="18"/>
      <w:szCs w:val="18"/>
    </w:rPr>
  </w:style>
  <w:style w:type="paragraph" w:customStyle="1" w:styleId="35">
    <w:name w:val="xl64"/>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36">
    <w:name w:val="xl65"/>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37">
    <w:name w:val="xl66"/>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38">
    <w:name w:val="xl67"/>
    <w:basedOn w:val="1"/>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39">
    <w:name w:val="xl68"/>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0">
    <w:name w:val="xl69"/>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1">
    <w:name w:val="xl70"/>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2">
    <w:name w:val="xl71"/>
    <w:basedOn w:val="1"/>
    <w:qFormat/>
    <w:uiPriority w:val="0"/>
    <w:pPr>
      <w:widowControl/>
      <w:pBdr>
        <w:top w:val="single" w:color="000000" w:sz="8" w:space="0"/>
        <w:lef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3">
    <w:name w:val="xl72"/>
    <w:basedOn w:val="1"/>
    <w:qFormat/>
    <w:uiPriority w:val="0"/>
    <w:pPr>
      <w:widowControl/>
      <w:pBdr>
        <w:top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4">
    <w:name w:val="xl73"/>
    <w:basedOn w:val="1"/>
    <w:qFormat/>
    <w:uiPriority w:val="0"/>
    <w:pPr>
      <w:widowControl/>
      <w:pBdr>
        <w:left w:val="single" w:color="000000" w:sz="8" w:space="0"/>
        <w:bottom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5">
    <w:name w:val="xl74"/>
    <w:basedOn w:val="1"/>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6">
    <w:name w:val="xl75"/>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47">
    <w:name w:val="xl76"/>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styleId="48">
    <w:name w:val="List Paragraph"/>
    <w:basedOn w:val="1"/>
    <w:qFormat/>
    <w:uiPriority w:val="99"/>
    <w:pPr>
      <w:ind w:firstLine="420" w:firstLineChars="200"/>
    </w:pPr>
  </w:style>
  <w:style w:type="paragraph" w:customStyle="1" w:styleId="49">
    <w:name w:val="xl77"/>
    <w:basedOn w:val="1"/>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50">
    <w:name w:val="xl78"/>
    <w:basedOn w:val="1"/>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51">
    <w:name w:val="xl79"/>
    <w:basedOn w:val="1"/>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hAnsi="宋体" w:eastAsia="宋体" w:cs="宋体"/>
      <w:b/>
      <w:bCs/>
      <w:color w:val="000000"/>
      <w:kern w:val="0"/>
      <w:sz w:val="20"/>
      <w:szCs w:val="20"/>
    </w:rPr>
  </w:style>
  <w:style w:type="paragraph" w:customStyle="1" w:styleId="52">
    <w:name w:val="xl80"/>
    <w:basedOn w:val="1"/>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宋体" w:hAnsi="宋体" w:eastAsia="宋体" w:cs="宋体"/>
      <w:color w:val="000000"/>
      <w:kern w:val="0"/>
      <w:sz w:val="20"/>
      <w:szCs w:val="20"/>
    </w:rPr>
  </w:style>
  <w:style w:type="paragraph" w:customStyle="1" w:styleId="53">
    <w:name w:val="xl81"/>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AA8A6-6785-4F67-A612-CBCE976B76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Pages>
  <Words>1025</Words>
  <Characters>1087</Characters>
  <Lines>8</Lines>
  <Paragraphs>2</Paragraphs>
  <TotalTime>8</TotalTime>
  <ScaleCrop>false</ScaleCrop>
  <LinksUpToDate>false</LinksUpToDate>
  <CharactersWithSpaces>1091</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2020-07-15T07:02:00Z</dcterms:created>
  <dc:creator>LSK</dc:creator>
  <dc:description>Shankar's Birthday falls on 25th July.  Don't Forget to wish him</dc:description>
  <cp:keywords>Birthday</cp:keywords>
  <cp:lastModifiedBy>LYS</cp:lastModifiedBy>
  <cp:lastPrinted>2019-06-10T06:58:00Z</cp:lastPrinted>
  <dcterms:modified xsi:type="dcterms:W3CDTF">2025-12-17T07:01:11Z</dcterms:modified>
  <dc:subject>Birthday</dc:subject>
  <dc:title>Are You suprised ?</dc:title>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eyJoZGlkIjoiYmE1YjcyNmY5NzQ0MWI0ZGE4YmU1ODZhMTY5MzQ4YjkiLCJ1c2VySWQiOiIyOTYxNzMzMTIifQ==</vt:lpwstr>
  </property>
  <property fmtid="{D5CDD505-2E9C-101B-9397-08002B2CF9AE}" pid="3" name="KSOProductBuildVer">
    <vt:lpwstr>2052-12.1.0.24034</vt:lpwstr>
  </property>
  <property fmtid="{D5CDD505-2E9C-101B-9397-08002B2CF9AE}" pid="4" name="ICV">
    <vt:lpwstr>C7AB608C882C427FB2935E2AA74304F4_13</vt:lpwstr>
  </property>
</Properties>
</file>