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B26CC">
      <w:pPr>
        <w:keepNext w:val="0"/>
        <w:keepLines w:val="0"/>
        <w:pageBreakBefore w:val="0"/>
        <w:widowControl w:val="0"/>
        <w:kinsoku/>
        <w:overflowPunct/>
        <w:topLinePunct w:val="0"/>
        <w:autoSpaceDE/>
        <w:autoSpaceDN/>
        <w:bidi w:val="0"/>
        <w:adjustRightInd w:val="0"/>
        <w:snapToGrid w:val="0"/>
        <w:spacing w:line="576"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03F7FFDF">
      <w:pPr>
        <w:keepNext w:val="0"/>
        <w:keepLines w:val="0"/>
        <w:pageBreakBefore w:val="0"/>
        <w:overflowPunct/>
        <w:topLinePunct w:val="0"/>
        <w:bidi w:val="0"/>
        <w:adjustRightInd w:val="0"/>
        <w:snapToGrid w:val="0"/>
        <w:spacing w:line="576"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473743A7">
      <w:pPr>
        <w:keepNext w:val="0"/>
        <w:keepLines w:val="0"/>
        <w:pageBreakBefore w:val="0"/>
        <w:overflowPunct/>
        <w:topLinePunct w:val="0"/>
        <w:bidi w:val="0"/>
        <w:adjustRightInd w:val="0"/>
        <w:snapToGrid w:val="0"/>
        <w:spacing w:line="576" w:lineRule="exact"/>
        <w:rPr>
          <w:rFonts w:hint="eastAsia" w:ascii="仿宋_GB2312" w:hAnsi="仿宋_GB2312" w:eastAsia="仿宋_GB2312" w:cs="仿宋_GB2312"/>
          <w:sz w:val="32"/>
          <w:szCs w:val="32"/>
        </w:rPr>
      </w:pPr>
    </w:p>
    <w:p w14:paraId="1205BAB7">
      <w:pPr>
        <w:keepNext w:val="0"/>
        <w:keepLines w:val="0"/>
        <w:pageBreakBefore w:val="0"/>
        <w:wordWrap w:val="0"/>
        <w:overflowPunct/>
        <w:topLinePunct w:val="0"/>
        <w:autoSpaceDE/>
        <w:autoSpaceDN/>
        <w:bidi w:val="0"/>
        <w:adjustRightInd w:val="0"/>
        <w:snapToGrid w:val="0"/>
        <w:spacing w:line="576"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16</w:t>
      </w:r>
      <w:r>
        <w:rPr>
          <w:rFonts w:hint="eastAsia" w:ascii="仿宋_GB2312" w:hAnsi="仿宋_GB2312" w:eastAsia="仿宋_GB2312" w:cs="仿宋_GB2312"/>
          <w:spacing w:val="-1"/>
          <w:sz w:val="32"/>
          <w:szCs w:val="32"/>
        </w:rPr>
        <w:t>号</w:t>
      </w:r>
    </w:p>
    <w:p w14:paraId="7CB8AB67">
      <w:pPr>
        <w:keepNext w:val="0"/>
        <w:keepLines w:val="0"/>
        <w:pageBreakBefore w:val="0"/>
        <w:overflowPunct/>
        <w:topLinePunct w:val="0"/>
        <w:autoSpaceDE/>
        <w:autoSpaceDN/>
        <w:bidi w:val="0"/>
        <w:adjustRightInd w:val="0"/>
        <w:snapToGrid w:val="0"/>
        <w:spacing w:line="576" w:lineRule="exact"/>
        <w:rPr>
          <w:rFonts w:hint="eastAsia" w:ascii="仿宋_GB2312" w:hAnsi="仿宋_GB2312" w:eastAsia="仿宋_GB2312" w:cs="仿宋_GB2312"/>
          <w:sz w:val="32"/>
          <w:szCs w:val="32"/>
        </w:rPr>
      </w:pPr>
    </w:p>
    <w:p w14:paraId="634AC449">
      <w:pPr>
        <w:keepNext w:val="0"/>
        <w:keepLines w:val="0"/>
        <w:pageBreakBefore w:val="0"/>
        <w:overflowPunct/>
        <w:topLinePunct w:val="0"/>
        <w:autoSpaceDE/>
        <w:autoSpaceDN/>
        <w:bidi w:val="0"/>
        <w:adjustRightInd w:val="0"/>
        <w:snapToGrid w:val="0"/>
        <w:spacing w:line="520" w:lineRule="exact"/>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当事人：江门市蓬江区棠下荣达塑料彩印厂</w:t>
      </w:r>
    </w:p>
    <w:p w14:paraId="5C141F22">
      <w:pPr>
        <w:keepNext w:val="0"/>
        <w:keepLines w:val="0"/>
        <w:pageBreakBefore w:val="0"/>
        <w:overflowPunct/>
        <w:topLinePunct w:val="0"/>
        <w:autoSpaceDE/>
        <w:autoSpaceDN/>
        <w:bidi w:val="0"/>
        <w:adjustRightInd w:val="0"/>
        <w:snapToGrid w:val="0"/>
        <w:spacing w:line="520" w:lineRule="exact"/>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统一社会信用代码：91440703X1770846XP</w:t>
      </w:r>
    </w:p>
    <w:p w14:paraId="7810E0F4">
      <w:pPr>
        <w:keepNext w:val="0"/>
        <w:keepLines w:val="0"/>
        <w:pageBreakBefore w:val="0"/>
        <w:overflowPunct/>
        <w:topLinePunct w:val="0"/>
        <w:autoSpaceDE/>
        <w:autoSpaceDN/>
        <w:bidi w:val="0"/>
        <w:adjustRightInd w:val="0"/>
        <w:snapToGrid w:val="0"/>
        <w:spacing w:line="520" w:lineRule="exact"/>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投资人：莫超健</w:t>
      </w:r>
    </w:p>
    <w:p w14:paraId="61D5956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napToGrid/>
          <w:kern w:val="2"/>
          <w:sz w:val="32"/>
          <w:szCs w:val="32"/>
          <w:lang w:val="en-US" w:eastAsia="zh-CN"/>
        </w:rPr>
        <w:t>地址：江门市棠下镇金岭工业区</w:t>
      </w:r>
    </w:p>
    <w:p w14:paraId="676C3D42">
      <w:pPr>
        <w:keepNext w:val="0"/>
        <w:keepLines w:val="0"/>
        <w:pageBreakBefore w:val="0"/>
        <w:overflowPunct/>
        <w:topLinePunct w:val="0"/>
        <w:autoSpaceDE/>
        <w:autoSpaceDN/>
        <w:bidi w:val="0"/>
        <w:adjustRightInd w:val="0"/>
        <w:snapToGrid w:val="0"/>
        <w:spacing w:line="576" w:lineRule="exact"/>
        <w:ind w:firstLine="672" w:firstLineChars="200"/>
        <w:rPr>
          <w:rFonts w:ascii="Times New Roman" w:hAnsi="Times New Roman" w:eastAsia="黑体" w:cs="Times New Roman"/>
          <w:spacing w:val="8"/>
          <w:position w:val="4"/>
          <w:sz w:val="32"/>
          <w:szCs w:val="32"/>
        </w:rPr>
      </w:pPr>
    </w:p>
    <w:p w14:paraId="248A7960">
      <w:pPr>
        <w:keepNext w:val="0"/>
        <w:keepLines w:val="0"/>
        <w:pageBreakBefore w:val="0"/>
        <w:overflowPunct/>
        <w:topLinePunct w:val="0"/>
        <w:autoSpaceDE/>
        <w:autoSpaceDN/>
        <w:bidi w:val="0"/>
        <w:adjustRightInd w:val="0"/>
        <w:snapToGrid w:val="0"/>
        <w:spacing w:line="576" w:lineRule="exact"/>
        <w:ind w:firstLine="672" w:firstLineChars="200"/>
        <w:rPr>
          <w:rFonts w:ascii="Times New Roman" w:hAnsi="Times New Roman" w:eastAsia="黑体" w:cs="Times New Roman"/>
          <w:sz w:val="32"/>
          <w:szCs w:val="32"/>
        </w:rPr>
      </w:pPr>
      <w:r>
        <w:rPr>
          <w:rFonts w:ascii="Times New Roman" w:hAnsi="Times New Roman" w:eastAsia="黑体" w:cs="Times New Roman"/>
          <w:spacing w:val="8"/>
          <w:position w:val="4"/>
          <w:sz w:val="32"/>
          <w:szCs w:val="32"/>
        </w:rPr>
        <w:t>一</w:t>
      </w:r>
      <w:r>
        <w:rPr>
          <w:rFonts w:ascii="Times New Roman" w:hAnsi="Times New Roman" w:eastAsia="黑体" w:cs="Times New Roman"/>
          <w:spacing w:val="5"/>
          <w:position w:val="4"/>
          <w:sz w:val="32"/>
          <w:szCs w:val="32"/>
        </w:rPr>
        <w:t>、</w:t>
      </w:r>
      <w:r>
        <w:rPr>
          <w:rFonts w:ascii="Times New Roman" w:hAnsi="Times New Roman" w:eastAsia="黑体" w:cs="Times New Roman"/>
          <w:spacing w:val="4"/>
          <w:position w:val="4"/>
          <w:sz w:val="32"/>
          <w:szCs w:val="32"/>
        </w:rPr>
        <w:t>环境违法事实和证据</w:t>
      </w:r>
    </w:p>
    <w:p w14:paraId="7613B722">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2026年4月27日至6月15日期间，我局执法人员对你单位进行现场检查，发现你单位存在以下环境违法行为：</w:t>
      </w:r>
    </w:p>
    <w:p w14:paraId="362084AB">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单位主要从事塑料薄膜制造项目。现场检查时，项目配套的“干式过滤+二级活性炭”废气治理设施正在运行，印刷工序正在生产，印刷机滚筒槽里分别有红色和黑色油墨，我局委托广东XX检验研究院对你单位印刷工序正在使用的油墨进行采样检测，你单位现场已提供使用水性油墨记载的《2025年涉VOCs原辅材料使用台账》。根据你单位已取得的《建设项目环境影响报告表》《关于江门市蓬江区棠下荣达塑料彩印厂年产包装印刷制品820吨新建项目环境影响报告表的批复》（江蓬环审〔2020〕454号）、《江门市蓬江区棠下荣达塑料彩印厂年产包装印刷制品820吨新建项目工程竣工环境保护验收报告》材料显示，你单位的生产项目属于《建设项目环境影响评价分类管理名录》(2021年)第二十六、橡胶和塑料制品业29-第53小项：塑料制品业292-其他（年用非溶剂型低VOCs含量涂料10吨以下的除外）或第二十、印刷和记录媒介复制业23-第39小项：印刷231-其他（激光印刷除外；年用低VOCs含量油墨10吨以下的印刷除外）类别，需要编制环境影响评价报告表，且该项目使用的原辅材料应为水性油墨（低挥发性有机化合物含量油墨产品）。另根据广东XX检验研究院出具的《检测报告》（报告编号：No.：SH2601207）及《检测结果分析报告》【编号：广质涂（2026）-SH2601207】和《检测报告》（报告编号：No.：SH2601208）及《检测结果分析报告》【编号：广质涂（2026）-SH2601208】显示，采样时你单位生产使用的油墨样品的可挥发性有机化合物（VOCs）含量分别为67.2%和74.6%，且均为溶剂型油墨，不属于低挥发性有机化合物含量油墨产品。即你单位在生产设备未增加、生产工艺未改变、原辅材料未超量的情况下，部分原辅材料种类由低挥发性有机化合物含量油墨产品变为非低挥发性有机化合物含量油墨产品（溶剂型油墨），上述改建项目属于《建设项目环境影响评价分类管理名录(2021年版)》二十、印刷和记录媒介复制业23-第39小项：印刷231-其他（激光印刷除外；年用低VOCs含量油墨10吨以下的印刷除外）类别，应当编制改建项目环境影响报告表。你单位使用溶剂型油墨从事生产的改建项目在配套建设的环境保护设施未经验收合格的情况下已擅自投入生产使用，莫超健是你单位直接负责的主管人员，违法行为持续时间综合认定为执法检查当天。</w:t>
      </w:r>
    </w:p>
    <w:p w14:paraId="237D833F">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2026年5月26日，你单位提供《江门市蓬江区棠下荣达塑料彩印厂整改情况报告》并承诺将停止使用溶剂型油墨，将使用溶剂型油墨进行的测试环节全部外发，即你单位已主动改正违法行为。</w:t>
      </w:r>
    </w:p>
    <w:p w14:paraId="33046460">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以上事实，有以下主要证据证明：</w:t>
      </w:r>
    </w:p>
    <w:p w14:paraId="4F574BA4">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1.2026年4月27日江门市生态环境局执法人员现场检查所作的《江门市生态环境局蓬江分局现场检查（勘察）笔录》。</w:t>
      </w:r>
    </w:p>
    <w:p w14:paraId="2E133209">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2.2026年4月27日、5月19日、6月2日江门市生态环境局执法人员调查询问所作的《江门市生态环境局调查询问笔录》。</w:t>
      </w:r>
    </w:p>
    <w:p w14:paraId="63619C6B">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3.2026年4月27日、5月19日、6月2日江门市生态环境局执法人员现场检查及询问时所拍摄的视频资料和照片资料。    </w:t>
      </w:r>
    </w:p>
    <w:p w14:paraId="52A3F4EA">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4.2026年6月15日江门市蓬江区棠下荣达塑料彩印厂提供的《建设项目环境影响报告表》（节选）、《关于江门市蓬江区棠下荣达塑料彩印厂年产包装印刷制品820吨新建项目环境影响报告表的批复》（江蓬环审〔2020〕454号）、《江门市蓬江区棠下荣达塑料彩印厂年产包装印刷制品820吨新建项目工程竣工环境保护验收报告》（节选）。</w:t>
      </w:r>
    </w:p>
    <w:p w14:paraId="69E96673">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5.2026年5月15日江门市生态环境局执法人员接收的《检测报告》（报告编号：No.：SH2601207）、《检测结果分析报告》【编号：广质涂（2026）-SH2601207】、《检测报告》（报告编号：No.：SH2601208）、《检测结果分析报告》【编号：广质涂（2026）-SH2601208】及其签收回执单。</w:t>
      </w:r>
    </w:p>
    <w:p w14:paraId="43119FCA">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6.2026年5月15日江门市生态环境局执法人员制作的《江门市生态环境局送达回证》。</w:t>
      </w:r>
    </w:p>
    <w:p w14:paraId="510616D0">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2、3、4、5、6证明一是你单位的主体信息、投资人兼直接负责的主管人员莫超健以及员工侯X珊的身份信息、生产设备、生产流程、原辅材料使用、污染防治设施建设、环保手续等情况；二是你单位已报批的生产项目为《建设项目环境影响评价分类管理名录》(2021年)第二十六、橡胶和塑料制品业29-第53小项：塑料制品业292-其他（年用非溶剂型低VOCs含量涂料10吨以下的除外）或第二十、印刷和记录媒介复制业23-第39小项：印刷231-其他（激光印刷除外；年用低VOCs含量油墨10吨以下的印刷除外）类别，属于应编制环境影响评价报告表项目，且该项目使用的原辅材料应为水性油墨（低挥发性有机化合物含量油墨产品）；三是现场检查时，你单位印刷工序正在生产，印刷机滚筒槽里分别有红色和黑色油墨，我局委托广东XX检验研究院对印刷工序正在使用的油墨进行采样检测的情况；四是根据检测结果显示，检查时你单位正在生产的印刷工序使用的油墨样品可挥发性有机化合物（VOCs）含量分别为67.2%和74.6%，且均为溶剂型油墨，不属于低挥发性有机化合物含量油墨产品；五是根据《挥发性有机物无组织排放控制标准》（GB 37822—2019）中“7.2.1 VOCs质量占比大于等于10%的含VOCs产品，其使用过程应采用密闭设备或在密闭空间内操作，废气应排至VOCs废气收集处理系统；无法密闭的，应采取局部气体收集措施，废气应排至VOCs废气收集处理系统。含VOCs产品的使用过程包括但不限于以下作业：c）印刷（平版、凸版、凹版、孔版等）”的内容显示，你单位印刷工序会产生挥发性有机物废气；六是我局接收检测报告的时间以及已将检测结果告知你单位的事实；七是你单位使用溶剂型油墨从事生产的改建项目未取得环评手续，配套建设的环境保护设施已建设完成但未经验收合格的事实。</w:t>
      </w:r>
    </w:p>
    <w:p w14:paraId="5E17F046">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7.2026年5月19日、5月27日江门市蓬江区棠下荣达塑料彩印厂提供的《情况说明》两份。</w:t>
      </w:r>
    </w:p>
    <w:p w14:paraId="5DB67F69">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证据1、2、3、7证明一是你单位直接负责的主管人员是莫超健；二是你单位使用溶剂型油墨从事生产的改建项目年使用量不超过10吨。</w:t>
      </w:r>
    </w:p>
    <w:p w14:paraId="34600089">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8.2026年4月27日江门市蓬江区棠下荣达塑料彩印厂提供的《授权委托书》一份。</w:t>
      </w:r>
    </w:p>
    <w:p w14:paraId="73F6815D">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证据8证明你单位已授权侯X珊（身份证号码：44XXXXX</w:t>
      </w:r>
      <w:bookmarkStart w:id="0" w:name="_GoBack"/>
      <w:bookmarkEnd w:id="0"/>
      <w:r>
        <w:rPr>
          <w:rFonts w:hint="eastAsia" w:ascii="仿宋_GB2312" w:hAnsi="仿宋_GB2312" w:eastAsia="仿宋_GB2312" w:cs="仿宋_GB2312"/>
          <w:sz w:val="32"/>
          <w:szCs w:val="32"/>
          <w:lang w:val="en-US" w:eastAsia="zh-CN"/>
        </w:rPr>
        <w:t>60）配合调查并签署执法文书及要求确认的证据材料。</w:t>
      </w:r>
    </w:p>
    <w:p w14:paraId="468261EF">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9.2026年6月2日江门市蓬江区棠下荣达塑料彩印厂提供的《2025年涉VOCs原辅材料使用台账》。</w:t>
      </w:r>
    </w:p>
    <w:p w14:paraId="2EC867B4">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证据1、2、3、4、9证明你单位水性油墨年使用量未超过已获批数量。</w:t>
      </w:r>
    </w:p>
    <w:p w14:paraId="2760AECE">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10.2026年5月26日江门市蓬江区棠下荣达塑料彩印厂提供的《江门市蓬江区棠下荣达塑料彩印厂整改情况报告》。</w:t>
      </w:r>
    </w:p>
    <w:p w14:paraId="589B67FC">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证据10证明你单位已停止使用溶剂型油墨即已主动改正违法行为的情况。</w:t>
      </w:r>
    </w:p>
    <w:p w14:paraId="447CBC0E">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11.2026年4月27日江门市生态环境局执法人员现场检查所作的《江门市生态环境局当事人送达地址确认书》。</w:t>
      </w:r>
    </w:p>
    <w:p w14:paraId="47486A00">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证据11证明你单位已提供经确认过的送达地址和方式。</w:t>
      </w:r>
    </w:p>
    <w:p w14:paraId="10C2F07F">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ascii="Times New Roman" w:hAnsi="Times New Roman" w:eastAsia="黑体" w:cs="Times New Roman"/>
          <w:snapToGrid/>
          <w:kern w:val="2"/>
          <w:sz w:val="32"/>
          <w:szCs w:val="32"/>
        </w:rPr>
      </w:pPr>
      <w:r>
        <w:rPr>
          <w:rFonts w:hint="default" w:ascii="Times New Roman" w:hAnsi="Times New Roman" w:eastAsia="黑体" w:cs="Times New Roman"/>
          <w:snapToGrid/>
          <w:kern w:val="2"/>
          <w:sz w:val="32"/>
          <w:szCs w:val="32"/>
        </w:rPr>
        <w:t>二、</w:t>
      </w:r>
      <w:r>
        <w:rPr>
          <w:rFonts w:hint="default" w:ascii="Times New Roman" w:hAnsi="Times New Roman" w:eastAsia="黑体" w:cs="Times New Roman"/>
          <w:sz w:val="32"/>
          <w:szCs w:val="32"/>
        </w:rPr>
        <w:t>责令改正的依据、种类及其履行方式和期限</w:t>
      </w:r>
    </w:p>
    <w:p w14:paraId="5E859041">
      <w:pPr>
        <w:keepNext w:val="0"/>
        <w:keepLines w:val="0"/>
        <w:pageBreakBefore w:val="0"/>
        <w:overflowPunct/>
        <w:topLinePunct w:val="0"/>
        <w:autoSpaceDE/>
        <w:autoSpaceDN/>
        <w:bidi w:val="0"/>
        <w:adjustRightInd w:val="0"/>
        <w:snapToGrid w:val="0"/>
        <w:spacing w:line="576" w:lineRule="exact"/>
        <w:ind w:firstLine="640"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你单位的上述行为，违反了《建设项目环境保护管理条例》第十九条第一款“编制环境影响报告书、环境影响报告表的建设项目，其配套建设的环境保护设施经验收合格，方可投入生产或者使用；未经验收或者验收不合格的，不得投入生产或者使用。”的规定，依据《建设项目环境保护管理条例》第二十三条第一款“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的规定，</w:t>
      </w:r>
      <w:r>
        <w:rPr>
          <w:rFonts w:hint="eastAsia" w:ascii="仿宋_GB2312" w:hAnsi="仿宋_GB2312" w:eastAsia="仿宋_GB2312" w:cs="仿宋_GB2312"/>
          <w:b/>
          <w:bCs/>
          <w:sz w:val="32"/>
          <w:szCs w:val="32"/>
        </w:rPr>
        <w:t>我局责令你单位</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立即改正使用溶剂型油墨从事生产的印刷231改建项目在需要配套建设的环境保护设施已建成、但未经验收合格的情况下即投入生产或使用的违法行为</w:t>
      </w:r>
      <w:r>
        <w:rPr>
          <w:rFonts w:hint="eastAsia" w:ascii="仿宋_GB2312" w:hAnsi="仿宋_GB2312" w:eastAsia="仿宋_GB2312" w:cs="仿宋_GB2312"/>
          <w:b/>
          <w:bCs/>
          <w:sz w:val="32"/>
          <w:szCs w:val="32"/>
        </w:rPr>
        <w:t>。</w:t>
      </w:r>
    </w:p>
    <w:p w14:paraId="7F32AA0A">
      <w:pPr>
        <w:keepNext w:val="0"/>
        <w:keepLines w:val="0"/>
        <w:pageBreakBefore w:val="0"/>
        <w:overflowPunct/>
        <w:topLinePunct w:val="0"/>
        <w:autoSpaceDE/>
        <w:autoSpaceDN/>
        <w:bidi w:val="0"/>
        <w:adjustRightInd w:val="0"/>
        <w:snapToGrid w:val="0"/>
        <w:spacing w:line="576" w:lineRule="exact"/>
        <w:ind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我局将对你单位改正违法行为的情况进行监督，如你单位逾期不改正上述环境违法行为，我局将依照《建设项目环境保护管理条例》第二十三条第一款的“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的规定，依法对你单位处100万元以上200万元以下的罚款。</w:t>
      </w:r>
    </w:p>
    <w:p w14:paraId="2457F5CF">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ascii="Times New Roman" w:hAnsi="Times New Roman" w:eastAsia="黑体" w:cs="Times New Roman"/>
          <w:snapToGrid/>
          <w:kern w:val="2"/>
          <w:sz w:val="32"/>
          <w:szCs w:val="32"/>
        </w:rPr>
      </w:pPr>
      <w:r>
        <w:rPr>
          <w:rFonts w:hint="default" w:ascii="Times New Roman" w:hAnsi="Times New Roman" w:eastAsia="黑体" w:cs="Times New Roman"/>
          <w:snapToGrid/>
          <w:kern w:val="2"/>
          <w:sz w:val="32"/>
          <w:szCs w:val="32"/>
        </w:rPr>
        <w:t>三、</w:t>
      </w:r>
      <w:r>
        <w:rPr>
          <w:rFonts w:hint="default" w:ascii="Times New Roman" w:hAnsi="Times New Roman" w:eastAsia="黑体" w:cs="Times New Roman"/>
          <w:sz w:val="32"/>
          <w:szCs w:val="32"/>
        </w:rPr>
        <w:t>申请复议或者提起诉讼的途径和期限</w:t>
      </w:r>
    </w:p>
    <w:p w14:paraId="0CA53B54">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3BB61C44">
      <w:pPr>
        <w:keepNext w:val="0"/>
        <w:keepLines w:val="0"/>
        <w:pageBreakBefore w:val="0"/>
        <w:widowControl w:val="0"/>
        <w:kinsoku/>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rPr>
      </w:pPr>
    </w:p>
    <w:p w14:paraId="7764BFB5">
      <w:pPr>
        <w:keepNext w:val="0"/>
        <w:keepLines w:val="0"/>
        <w:pageBreakBefore w:val="0"/>
        <w:widowControl w:val="0"/>
        <w:kinsoku/>
        <w:overflowPunct/>
        <w:topLinePunct w:val="0"/>
        <w:autoSpaceDE/>
        <w:autoSpaceDN/>
        <w:bidi w:val="0"/>
        <w:adjustRightInd w:val="0"/>
        <w:snapToGrid w:val="0"/>
        <w:spacing w:line="576"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4722E870">
      <w:pPr>
        <w:keepNext w:val="0"/>
        <w:keepLines w:val="0"/>
        <w:pageBreakBefore w:val="0"/>
        <w:widowControl w:val="0"/>
        <w:kinsoku/>
        <w:overflowPunct/>
        <w:topLinePunct w:val="0"/>
        <w:autoSpaceDE/>
        <w:autoSpaceDN/>
        <w:bidi w:val="0"/>
        <w:adjustRightInd w:val="0"/>
        <w:snapToGrid w:val="0"/>
        <w:spacing w:line="576"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r>
        <w:rPr>
          <w:rFonts w:hint="eastAsia" w:ascii="仿宋_GB2312" w:hAnsi="仿宋_GB2312" w:eastAsia="仿宋_GB2312" w:cs="仿宋_GB2312"/>
          <w:snapToGrid/>
          <w:kern w:val="2"/>
          <w:sz w:val="32"/>
          <w:szCs w:val="32"/>
        </w:rPr>
        <w:t>。</w:t>
      </w:r>
    </w:p>
    <w:p w14:paraId="49D3817B">
      <w:pPr>
        <w:keepNext w:val="0"/>
        <w:keepLines w:val="0"/>
        <w:pageBreakBefore w:val="0"/>
        <w:widowControl w:val="0"/>
        <w:kinsoku/>
        <w:overflowPunct/>
        <w:topLinePunct w:val="0"/>
        <w:autoSpaceDE/>
        <w:autoSpaceDN/>
        <w:bidi w:val="0"/>
        <w:adjustRightInd w:val="0"/>
        <w:snapToGrid w:val="0"/>
        <w:spacing w:line="576"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3F82993D">
      <w:pPr>
        <w:keepNext w:val="0"/>
        <w:keepLines w:val="0"/>
        <w:pageBreakBefore w:val="0"/>
        <w:widowControl w:val="0"/>
        <w:kinsoku/>
        <w:overflowPunct/>
        <w:topLinePunct w:val="0"/>
        <w:autoSpaceDE/>
        <w:autoSpaceDN/>
        <w:bidi w:val="0"/>
        <w:adjustRightInd w:val="0"/>
        <w:snapToGrid w:val="0"/>
        <w:spacing w:line="576"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24B4BFB5">
      <w:pPr>
        <w:keepNext w:val="0"/>
        <w:keepLines w:val="0"/>
        <w:pageBreakBefore w:val="0"/>
        <w:widowControl w:val="0"/>
        <w:kinsoku/>
        <w:wordWrap w:val="0"/>
        <w:overflowPunct/>
        <w:topLinePunct w:val="0"/>
        <w:autoSpaceDE/>
        <w:autoSpaceDN/>
        <w:bidi w:val="0"/>
        <w:adjustRightInd w:val="0"/>
        <w:snapToGrid w:val="0"/>
        <w:spacing w:line="576" w:lineRule="exact"/>
        <w:jc w:val="right"/>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rPr>
        <w:t xml:space="preserve">江门市生态环境局    </w:t>
      </w:r>
    </w:p>
    <w:p w14:paraId="7F50745F">
      <w:pPr>
        <w:keepNext w:val="0"/>
        <w:keepLines w:val="0"/>
        <w:pageBreakBefore w:val="0"/>
        <w:widowControl w:val="0"/>
        <w:kinsoku/>
        <w:wordWrap w:val="0"/>
        <w:overflowPunct/>
        <w:topLinePunct w:val="0"/>
        <w:autoSpaceDE/>
        <w:autoSpaceDN/>
        <w:bidi w:val="0"/>
        <w:adjustRightInd w:val="0"/>
        <w:snapToGrid w:val="0"/>
        <w:spacing w:line="576" w:lineRule="exact"/>
        <w:jc w:val="right"/>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rPr>
        <w:t>202</w:t>
      </w:r>
      <w:r>
        <w:rPr>
          <w:rFonts w:hint="eastAsia" w:ascii="仿宋_GB2312" w:hAnsi="仿宋_GB2312" w:eastAsia="仿宋_GB2312" w:cs="仿宋_GB2312"/>
          <w:snapToGrid/>
          <w:kern w:val="2"/>
          <w:sz w:val="32"/>
          <w:szCs w:val="32"/>
          <w:lang w:val="en-US" w:eastAsia="zh-CN"/>
        </w:rPr>
        <w:t>6</w:t>
      </w:r>
      <w:r>
        <w:rPr>
          <w:rFonts w:hint="eastAsia" w:ascii="仿宋_GB2312" w:hAnsi="仿宋_GB2312" w:eastAsia="仿宋_GB2312" w:cs="仿宋_GB2312"/>
          <w:snapToGrid/>
          <w:kern w:val="2"/>
          <w:sz w:val="32"/>
          <w:szCs w:val="32"/>
        </w:rPr>
        <w:t>年</w:t>
      </w:r>
      <w:r>
        <w:rPr>
          <w:rFonts w:hint="eastAsia" w:ascii="仿宋_GB2312" w:hAnsi="仿宋_GB2312" w:eastAsia="仿宋_GB2312" w:cs="仿宋_GB2312"/>
          <w:snapToGrid/>
          <w:kern w:val="2"/>
          <w:sz w:val="32"/>
          <w:szCs w:val="32"/>
          <w:lang w:val="en-US" w:eastAsia="zh-CN"/>
        </w:rPr>
        <w:t>6</w:t>
      </w:r>
      <w:r>
        <w:rPr>
          <w:rFonts w:hint="eastAsia" w:ascii="仿宋_GB2312" w:hAnsi="仿宋_GB2312" w:eastAsia="仿宋_GB2312" w:cs="仿宋_GB2312"/>
          <w:snapToGrid/>
          <w:kern w:val="2"/>
          <w:sz w:val="32"/>
          <w:szCs w:val="32"/>
        </w:rPr>
        <w:t>月</w:t>
      </w:r>
      <w:r>
        <w:rPr>
          <w:rFonts w:hint="eastAsia" w:ascii="仿宋_GB2312" w:hAnsi="仿宋_GB2312" w:eastAsia="仿宋_GB2312" w:cs="仿宋_GB2312"/>
          <w:snapToGrid/>
          <w:kern w:val="2"/>
          <w:sz w:val="32"/>
          <w:szCs w:val="32"/>
          <w:lang w:val="en-US" w:eastAsia="zh-CN"/>
        </w:rPr>
        <w:t>23</w:t>
      </w:r>
      <w:r>
        <w:rPr>
          <w:rFonts w:hint="eastAsia" w:ascii="仿宋_GB2312" w:hAnsi="仿宋_GB2312" w:eastAsia="仿宋_GB2312" w:cs="仿宋_GB2312"/>
          <w:snapToGrid/>
          <w:kern w:val="2"/>
          <w:sz w:val="32"/>
          <w:szCs w:val="32"/>
        </w:rPr>
        <w:t xml:space="preserve">日    </w:t>
      </w:r>
    </w:p>
    <w:p w14:paraId="4A171BF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975EA5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7BB949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0DC312E">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376A62F">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7ABFD1F">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CC4AB3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0B6D844">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1113A0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FF2B2E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C41B723">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B27DD3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1AB201F">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E6F32B9">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461C8F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25A5526">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A878BD2">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119549F">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D066A6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0978EFF">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228E204">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9189EC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D21B8F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C904533">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B9315A4">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736314C">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B87320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F43004D">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4445FC2">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90E693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F26CD0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315EABA">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3015329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828B3FE">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A0C914F">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0156A2F">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DC93A5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A5AB03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C64581A">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AB1313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89D2466">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96FFFC7">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A5B4F5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A2653F2">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3461956">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09CAD2CA">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C1C10F0">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F7F77C4">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FD6B3E9">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0F5CA45">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37DE7BD">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0966F75">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B1115C7">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5B1C7EA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95081FD">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626974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54D007D">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807694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463792E4">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D470A28">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2871E9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CD6F1FC">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51765B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420FE3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E7D9A1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BEBCB9E">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7C6DB82">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68311CB2">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5DF52DD">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2D334AA2">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7CA2D35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p w14:paraId="137D87AA">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lang w:val="en-US" w:eastAsia="zh-CN"/>
        </w:rPr>
      </w:pPr>
    </w:p>
    <w:tbl>
      <w:tblPr>
        <w:tblStyle w:val="4"/>
        <w:tblpPr w:leftFromText="180" w:rightFromText="180" w:vertAnchor="text" w:horzAnchor="page" w:tblpX="1429" w:tblpY="3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389C2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04B86F23">
            <w:pPr>
              <w:keepNext w:val="0"/>
              <w:keepLines w:val="0"/>
              <w:pageBreakBefore w:val="0"/>
              <w:overflowPunct/>
              <w:topLinePunct w:val="0"/>
              <w:autoSpaceDE/>
              <w:autoSpaceDN/>
              <w:bidi w:val="0"/>
              <w:spacing w:line="530" w:lineRule="exact"/>
              <w:ind w:left="960" w:hanging="960" w:hangingChars="3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抄送：</w:t>
            </w:r>
            <w:r>
              <w:rPr>
                <w:rFonts w:hint="eastAsia" w:ascii="Times New Roman" w:hAnsi="Times New Roman" w:eastAsia="仿宋_GB2312" w:cs="Times New Roman"/>
                <w:sz w:val="32"/>
                <w:szCs w:val="32"/>
                <w:lang w:eastAsia="zh-CN"/>
              </w:rPr>
              <w:t>棠下</w:t>
            </w:r>
            <w:r>
              <w:rPr>
                <w:rFonts w:hint="default" w:ascii="Times New Roman" w:hAnsi="Times New Roman" w:eastAsia="仿宋_GB2312" w:cs="Times New Roman"/>
                <w:sz w:val="32"/>
                <w:szCs w:val="32"/>
              </w:rPr>
              <w:t>镇人民政府</w:t>
            </w:r>
          </w:p>
        </w:tc>
      </w:tr>
    </w:tbl>
    <w:p w14:paraId="7D169E11">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baseline"/>
        <w:rPr>
          <w:rFonts w:hint="eastAsia"/>
          <w:lang w:val="en-US" w:eastAsia="zh-CN"/>
        </w:rPr>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4D928">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BCA39">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7ADBCA39">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3B616D"/>
    <w:rsid w:val="00BE19AB"/>
    <w:rsid w:val="00E87B38"/>
    <w:rsid w:val="013E7ABD"/>
    <w:rsid w:val="02990117"/>
    <w:rsid w:val="046441B2"/>
    <w:rsid w:val="07284F03"/>
    <w:rsid w:val="07D15478"/>
    <w:rsid w:val="08B9254E"/>
    <w:rsid w:val="09E153CF"/>
    <w:rsid w:val="0A8850B7"/>
    <w:rsid w:val="0B101A02"/>
    <w:rsid w:val="0C770293"/>
    <w:rsid w:val="0F450E31"/>
    <w:rsid w:val="0FC84B7C"/>
    <w:rsid w:val="195C0081"/>
    <w:rsid w:val="1A324B3D"/>
    <w:rsid w:val="1C174DF4"/>
    <w:rsid w:val="1D413EF5"/>
    <w:rsid w:val="1E03514C"/>
    <w:rsid w:val="1ED876CB"/>
    <w:rsid w:val="1F635C48"/>
    <w:rsid w:val="22E05EA5"/>
    <w:rsid w:val="232C1E1E"/>
    <w:rsid w:val="24451297"/>
    <w:rsid w:val="248E3515"/>
    <w:rsid w:val="252B3F15"/>
    <w:rsid w:val="257B169F"/>
    <w:rsid w:val="2624159B"/>
    <w:rsid w:val="26E760A0"/>
    <w:rsid w:val="27000908"/>
    <w:rsid w:val="291B23C1"/>
    <w:rsid w:val="2AC04373"/>
    <w:rsid w:val="2CA925C6"/>
    <w:rsid w:val="2E43075E"/>
    <w:rsid w:val="2E5A20EC"/>
    <w:rsid w:val="2EC851B9"/>
    <w:rsid w:val="33C111F0"/>
    <w:rsid w:val="34E97E80"/>
    <w:rsid w:val="371A0E96"/>
    <w:rsid w:val="37B67B3F"/>
    <w:rsid w:val="37C54C26"/>
    <w:rsid w:val="386B0EA1"/>
    <w:rsid w:val="406744E1"/>
    <w:rsid w:val="406940E1"/>
    <w:rsid w:val="44324EDB"/>
    <w:rsid w:val="475A6BFF"/>
    <w:rsid w:val="47E86BD1"/>
    <w:rsid w:val="49443988"/>
    <w:rsid w:val="4DA427CD"/>
    <w:rsid w:val="4DC31039"/>
    <w:rsid w:val="4DEE1540"/>
    <w:rsid w:val="504C20D5"/>
    <w:rsid w:val="50A520F1"/>
    <w:rsid w:val="521E7FBD"/>
    <w:rsid w:val="541F3870"/>
    <w:rsid w:val="573D6B91"/>
    <w:rsid w:val="583919BB"/>
    <w:rsid w:val="5A106171"/>
    <w:rsid w:val="5A6C5E26"/>
    <w:rsid w:val="5AB84439"/>
    <w:rsid w:val="5D327901"/>
    <w:rsid w:val="645D370F"/>
    <w:rsid w:val="682B21D2"/>
    <w:rsid w:val="68E67400"/>
    <w:rsid w:val="6A846A1B"/>
    <w:rsid w:val="6D51427B"/>
    <w:rsid w:val="729279F7"/>
    <w:rsid w:val="743A2544"/>
    <w:rsid w:val="772067E2"/>
    <w:rsid w:val="77993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3755</Words>
  <Characters>4145</Characters>
  <Lines>6</Lines>
  <Paragraphs>1</Paragraphs>
  <TotalTime>4</TotalTime>
  <ScaleCrop>false</ScaleCrop>
  <LinksUpToDate>false</LinksUpToDate>
  <CharactersWithSpaces>4159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2024-03-15T01:44:00Z</cp:lastPrinted>
  <dcterms:modified xsi:type="dcterms:W3CDTF">2026-06-23T09:26:05Z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FDA9FF1EB42A42CF8974B3E474911862_11</vt:lpwstr>
  </property>
  <property fmtid="{D5CDD505-2E9C-101B-9397-08002B2CF9AE}" pid="4" name="KSOTemplateDocerSaveRecord">
    <vt:lpwstr>eyJoZGlkIjoiMDY0ZTQxMGVlNzJhOWYyYTI4MmViYmVkMzAzZDc0OGEiLCJ1c2VySWQiOiI0MDk5NTExMDEifQ==</vt:lpwstr>
  </property>
</Properties>
</file>