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122C6">
      <w:pPr>
        <w:keepNext w:val="0"/>
        <w:keepLines w:val="0"/>
        <w:pageBreakBefore w:val="0"/>
        <w:widowControl w:val="0"/>
        <w:kinsoku/>
        <w:overflowPunct/>
        <w:topLinePunct w:val="0"/>
        <w:autoSpaceDE/>
        <w:autoSpaceDN/>
        <w:bidi w:val="0"/>
        <w:adjustRightInd w:val="0"/>
        <w:snapToGrid w:val="0"/>
        <w:spacing w:line="540"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1EF5931E">
      <w:pPr>
        <w:keepNext w:val="0"/>
        <w:keepLines w:val="0"/>
        <w:pageBreakBefore w:val="0"/>
        <w:overflowPunct/>
        <w:topLinePunct w:val="0"/>
        <w:bidi w:val="0"/>
        <w:adjustRightInd w:val="0"/>
        <w:snapToGrid w:val="0"/>
        <w:spacing w:line="540"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42AE219F">
      <w:pPr>
        <w:keepNext w:val="0"/>
        <w:keepLines w:val="0"/>
        <w:pageBreakBefore w:val="0"/>
        <w:overflowPunct/>
        <w:topLinePunct w:val="0"/>
        <w:bidi w:val="0"/>
        <w:adjustRightInd w:val="0"/>
        <w:snapToGrid w:val="0"/>
        <w:spacing w:line="540" w:lineRule="exact"/>
        <w:ind w:left="0" w:leftChars="0"/>
      </w:pPr>
    </w:p>
    <w:p w14:paraId="04432EB9">
      <w:pPr>
        <w:keepNext w:val="0"/>
        <w:keepLines w:val="0"/>
        <w:pageBreakBefore w:val="0"/>
        <w:wordWrap w:val="0"/>
        <w:overflowPunct/>
        <w:topLinePunct w:val="0"/>
        <w:bidi w:val="0"/>
        <w:adjustRightInd w:val="0"/>
        <w:snapToGrid w:val="0"/>
        <w:spacing w:line="540"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18</w:t>
      </w:r>
      <w:r>
        <w:rPr>
          <w:rFonts w:hint="eastAsia" w:ascii="仿宋_GB2312" w:hAnsi="仿宋_GB2312" w:eastAsia="仿宋_GB2312" w:cs="仿宋_GB2312"/>
          <w:spacing w:val="-1"/>
          <w:sz w:val="32"/>
          <w:szCs w:val="32"/>
        </w:rPr>
        <w:t>号</w:t>
      </w:r>
    </w:p>
    <w:p w14:paraId="579566F7">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rPr>
      </w:pPr>
    </w:p>
    <w:p w14:paraId="57078689">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当事人：江门市蓬江区朝恒数控五金厂</w:t>
      </w:r>
    </w:p>
    <w:p w14:paraId="6C677301">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统一社会信用代码：92440703MA54WMQ858</w:t>
      </w:r>
    </w:p>
    <w:p w14:paraId="6E1F4E8D">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经营地址：江门市蓬江区荷塘镇为民村天字一号之二厂房</w:t>
      </w:r>
    </w:p>
    <w:p w14:paraId="07EFEB5E">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sz w:val="32"/>
          <w:szCs w:val="32"/>
          <w:lang w:val="en-US" w:eastAsia="zh-CN"/>
        </w:rPr>
        <w:t>经营者：胡锡耀</w:t>
      </w:r>
    </w:p>
    <w:p w14:paraId="18036E1B">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身份证号码</w:t>
      </w:r>
      <w:r>
        <w:rPr>
          <w:rFonts w:hint="eastAsia" w:ascii="仿宋_GB2312" w:eastAsia="仿宋_GB2312"/>
          <w:sz w:val="32"/>
          <w:szCs w:val="32"/>
          <w:lang w:val="en-US" w:eastAsia="zh-CN"/>
        </w:rPr>
        <w:t>：44XXXXXXXXX15</w:t>
      </w:r>
    </w:p>
    <w:p w14:paraId="6B90A04E">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住址：广东省XXXXXXX号</w:t>
      </w:r>
    </w:p>
    <w:p w14:paraId="2863B8F3">
      <w:pPr>
        <w:keepNext w:val="0"/>
        <w:keepLines w:val="0"/>
        <w:pageBreakBefore w:val="0"/>
        <w:overflowPunct/>
        <w:topLinePunct w:val="0"/>
        <w:autoSpaceDE/>
        <w:autoSpaceDN/>
        <w:bidi w:val="0"/>
        <w:adjustRightInd w:val="0"/>
        <w:snapToGrid w:val="0"/>
        <w:spacing w:line="540" w:lineRule="exact"/>
        <w:rPr>
          <w:rFonts w:ascii="黑体" w:hAnsi="黑体" w:eastAsia="黑体" w:cs="黑体"/>
          <w:spacing w:val="8"/>
          <w:position w:val="4"/>
          <w:sz w:val="32"/>
          <w:szCs w:val="32"/>
        </w:rPr>
      </w:pPr>
    </w:p>
    <w:p w14:paraId="288C0494">
      <w:pPr>
        <w:keepNext w:val="0"/>
        <w:keepLines w:val="0"/>
        <w:pageBreakBefore w:val="0"/>
        <w:overflowPunct/>
        <w:topLinePunct w:val="0"/>
        <w:autoSpaceDE/>
        <w:autoSpaceDN/>
        <w:bidi w:val="0"/>
        <w:adjustRightInd w:val="0"/>
        <w:snapToGrid w:val="0"/>
        <w:spacing w:line="540"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2BE3151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2026年6月2日，我局执法人员对你（单位）进行现场检查，发现你（单位）存在以下环境违法行为：</w:t>
      </w:r>
    </w:p>
    <w:p w14:paraId="1AD5E93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主要从事金属制品加工项目，切割及CNC数控机床生产工序需要使用含矿物油成分的飞图E-1305AL(B)水溶性金属加工液进行冷却、润滑。经调查，你（单位）员工李X七于2026年6月1日将含矿物油成分的飞图E-1305AL(B)水溶性金属加工液倒入厕所，最终排向芦边河程门段河涌，即你（单位）存在向水体排放油类的违法行为。</w:t>
      </w:r>
    </w:p>
    <w:p w14:paraId="5A468BA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5日，你（单位）委托江门市XX环保科技有限公司将化粪池残余含矿物油金属加工液抽取存入暂存桶中；6月8日，你（单位）将暂存桶中的废乳化液交由江门市XX环保科技有限公司进行合法处置，即你（单位）已主动改正违法行为并采取治理措施消除污染。</w:t>
      </w:r>
    </w:p>
    <w:p w14:paraId="213CAF9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5DD0BA0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1.2026年6月2日江门市生态环境局执法人员现场检查所作的《行政检查情况记录表》、2026年6月2日、6月5日江门市生态环境局执法人员现场检查所作的《江门市生态环境局现场检查（勘察）记录》。</w:t>
      </w:r>
    </w:p>
    <w:p w14:paraId="240B47A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2.2026年6月2日、6月15日江门市生态环境局执法人员调查询问所作的《江门市生态环境局调查询问笔录》。</w:t>
      </w:r>
    </w:p>
    <w:p w14:paraId="4A153D53">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3.2026年6月2日、6月5日江门市生态环境局执法人员现场检查和调查询问时所拍摄的视频资料和照片资料。</w:t>
      </w:r>
    </w:p>
    <w:p w14:paraId="301197D8">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4.2026年6月5日</w:t>
      </w:r>
      <w:r>
        <w:rPr>
          <w:rFonts w:hint="eastAsia" w:ascii="仿宋_GB2312" w:hAnsi="仿宋_GB2312" w:eastAsia="仿宋_GB2312" w:cs="仿宋_GB2312"/>
          <w:sz w:val="32"/>
          <w:szCs w:val="32"/>
          <w:lang w:val="en-US" w:eastAsia="zh-CN"/>
        </w:rPr>
        <w:t>江门市生态环境局执法人员</w:t>
      </w:r>
      <w:r>
        <w:rPr>
          <w:rFonts w:hint="eastAsia" w:ascii="仿宋_GB2312" w:eastAsia="仿宋_GB2312"/>
          <w:sz w:val="32"/>
          <w:szCs w:val="32"/>
          <w:lang w:val="en-US" w:eastAsia="zh-CN"/>
        </w:rPr>
        <w:t>制作的《江门市蓬江区朝恒数控五金厂废水流向示意图》。</w:t>
      </w:r>
    </w:p>
    <w:p w14:paraId="0F73B642">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5.2026年6月5日江门市蓬江区朝恒数控五金厂提供的《材料安全技术说明书》（产品名称：</w:t>
      </w:r>
      <w:r>
        <w:rPr>
          <w:rFonts w:hint="eastAsia" w:ascii="仿宋_GB2312" w:hAnsi="仿宋_GB2312" w:eastAsia="仿宋_GB2312" w:cs="仿宋_GB2312"/>
          <w:sz w:val="32"/>
          <w:szCs w:val="32"/>
          <w:lang w:val="en-US" w:eastAsia="zh-CN"/>
        </w:rPr>
        <w:t>飞图E-1305AL(B)水溶性金属加工液</w:t>
      </w:r>
      <w:r>
        <w:rPr>
          <w:rFonts w:hint="eastAsia" w:ascii="仿宋_GB2312" w:eastAsia="仿宋_GB2312"/>
          <w:sz w:val="32"/>
          <w:szCs w:val="32"/>
          <w:lang w:val="en-US" w:eastAsia="zh-CN"/>
        </w:rPr>
        <w:t>）。</w:t>
      </w:r>
    </w:p>
    <w:p w14:paraId="7A71DDBD">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6.2026年6月15日江门市蓬江区朝恒数控五金厂提供的《危险废物处理服务合同》（合同编号：ZRKJ-20260603-01）。</w:t>
      </w:r>
    </w:p>
    <w:p w14:paraId="583DEAC3">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eastAsia="仿宋_GB2312"/>
          <w:sz w:val="32"/>
          <w:szCs w:val="32"/>
          <w:lang w:val="en-US" w:eastAsia="zh-CN"/>
        </w:rPr>
        <w:t>7.2026年6月15日</w:t>
      </w:r>
      <w:r>
        <w:rPr>
          <w:rFonts w:hint="eastAsia" w:ascii="仿宋_GB2312" w:hAnsi="仿宋_GB2312" w:eastAsia="仿宋_GB2312" w:cs="仿宋_GB2312"/>
          <w:sz w:val="32"/>
          <w:szCs w:val="32"/>
          <w:lang w:val="en-US" w:eastAsia="zh-CN"/>
        </w:rPr>
        <w:t>江门市生态环境局执法人员通过固废监管平台制作的</w:t>
      </w:r>
      <w:r>
        <w:rPr>
          <w:rFonts w:hint="eastAsia" w:ascii="仿宋_GB2312" w:eastAsia="仿宋_GB2312"/>
          <w:sz w:val="32"/>
          <w:szCs w:val="32"/>
          <w:lang w:val="en-US" w:eastAsia="zh-CN"/>
        </w:rPr>
        <w:t>《危险废物转移联单》（省平台联单编号：440720265388816）。</w:t>
      </w:r>
    </w:p>
    <w:p w14:paraId="5AD66F9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5、6、7证明一是你（单位）的主体信息、经营者胡锡耀以及员工李X七的身份信息、生产设备、生产工艺、原辅材料使用等情况；二是经示踪显示你（单位）厕所联通的下水井最终出水方向为芦边河程门段河涌；三是2026年6月2日现场检查时未在你（单位）上游下水井发现乳白色液体，而在你（单位）厕所联通的下水井中以及该下水井通向的芦边河程门段河涌水面发现乳白色液体的情况；四是你（单位）员工李雨七于2026年6月1日将含矿物油成分的飞图E-1305AL(B)水溶性金属加工液通过厕所最终排向芦边河程门段河涌的事实；五是你（单位）已将排放的油类污染物抽取后合法化处置即已主动改正违法行为并采取治理措施消除污染。</w:t>
      </w:r>
    </w:p>
    <w:p w14:paraId="0DB21A25">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8.2026年6月15日</w:t>
      </w:r>
      <w:r>
        <w:rPr>
          <w:rFonts w:hint="eastAsia" w:ascii="仿宋_GB2312" w:hAnsi="仿宋_GB2312" w:eastAsia="仿宋_GB2312" w:cs="仿宋_GB2312"/>
          <w:sz w:val="32"/>
          <w:szCs w:val="32"/>
          <w:lang w:val="en-US" w:eastAsia="zh-CN"/>
        </w:rPr>
        <w:t>江门市生态环境局执法人员接收的《监测报告》[报告编号：（蓬江）环境监测（2026）第J0602021号]及其签收回执单、2026年6月15日江门市生态环境局执法人员制作的《送达回证》</w:t>
      </w:r>
      <w:r>
        <w:rPr>
          <w:rFonts w:hint="eastAsia" w:ascii="仿宋_GB2312" w:eastAsia="仿宋_GB2312"/>
          <w:sz w:val="32"/>
          <w:szCs w:val="32"/>
          <w:lang w:val="en-US" w:eastAsia="zh-CN"/>
        </w:rPr>
        <w:t>。</w:t>
      </w:r>
    </w:p>
    <w:p w14:paraId="17B63C21">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证据1、2、3、8证明我局于2026年6月2日现场检查时对芦边河程门段河涌水体进行采样，并已将监测结果告知你（单位）的事实。</w:t>
      </w:r>
    </w:p>
    <w:p w14:paraId="1625C5D5">
      <w:pPr>
        <w:keepNext w:val="0"/>
        <w:keepLines w:val="0"/>
        <w:pageBreakBefore w:val="0"/>
        <w:widowControl w:val="0"/>
        <w:shd w:val="clear" w:color="auto" w:fill="FFFFFF"/>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9.2026年6月2日江门市蓬江区朝恒数控五金厂提供的授权委托书一份。</w:t>
      </w:r>
    </w:p>
    <w:p w14:paraId="7B586EC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证据9证明</w:t>
      </w:r>
      <w:r>
        <w:rPr>
          <w:rFonts w:hint="eastAsia" w:ascii="仿宋_GB2312" w:hAnsi="仿宋_GB2312" w:eastAsia="仿宋_GB2312" w:cs="仿宋_GB2312"/>
          <w:sz w:val="32"/>
          <w:szCs w:val="32"/>
          <w:lang w:val="en-US" w:eastAsia="zh-CN"/>
        </w:rPr>
        <w:t>你（单位）</w:t>
      </w:r>
      <w:r>
        <w:rPr>
          <w:rFonts w:hint="eastAsia" w:ascii="仿宋_GB2312" w:eastAsia="仿宋_GB2312"/>
          <w:sz w:val="32"/>
          <w:szCs w:val="32"/>
          <w:lang w:val="en-US" w:eastAsia="zh-CN"/>
        </w:rPr>
        <w:t>已授权委托李X七（身份证号码：45XXXXXXXX</w:t>
      </w:r>
      <w:bookmarkStart w:id="0" w:name="_GoBack"/>
      <w:bookmarkEnd w:id="0"/>
      <w:r>
        <w:rPr>
          <w:rFonts w:hint="eastAsia" w:ascii="仿宋_GB2312" w:eastAsia="仿宋_GB2312"/>
          <w:sz w:val="32"/>
          <w:szCs w:val="32"/>
          <w:lang w:val="en-US" w:eastAsia="zh-CN"/>
        </w:rPr>
        <w:t>36）</w:t>
      </w:r>
      <w:r>
        <w:rPr>
          <w:rFonts w:hint="eastAsia" w:ascii="仿宋_GB2312" w:hAnsi="仿宋_GB2312" w:eastAsia="仿宋_GB2312" w:cs="仿宋_GB2312"/>
          <w:sz w:val="32"/>
          <w:szCs w:val="32"/>
          <w:lang w:val="en-US" w:eastAsia="zh-CN"/>
        </w:rPr>
        <w:t>配合调查并提供相关资料。</w:t>
      </w:r>
    </w:p>
    <w:p w14:paraId="18D5E3DC">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_GB2312" w:eastAsia="仿宋_GB2312" w:cs="仿宋_GB2312"/>
          <w:sz w:val="32"/>
          <w:szCs w:val="32"/>
          <w:lang w:val="en-US" w:eastAsia="zh-CN"/>
        </w:rPr>
        <w:t>10.2026年6月2日江门市生态环境局执法人员调查所作的《送达地址确认书》。</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证据10证明你（单位）已提供经确认过的送达地址和方式</w:t>
      </w:r>
      <w:r>
        <w:rPr>
          <w:rFonts w:hint="eastAsia" w:ascii="仿宋_GB2312" w:hAnsi="仿宋" w:eastAsia="仿宋_GB2312" w:cs="Times New Roman"/>
          <w:snapToGrid/>
          <w:kern w:val="2"/>
          <w:sz w:val="32"/>
          <w:szCs w:val="32"/>
          <w:lang w:val="en-US" w:eastAsia="zh-CN"/>
        </w:rPr>
        <w:t>。</w:t>
      </w:r>
    </w:p>
    <w:p w14:paraId="3868A8CF">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napToGrid w:val="0"/>
          <w:color w:val="000000"/>
          <w:sz w:val="32"/>
          <w:szCs w:val="32"/>
          <w:lang w:val="en-US" w:eastAsia="zh-CN" w:bidi="ar-SA"/>
        </w:rPr>
        <w:t>二、</w:t>
      </w:r>
      <w:r>
        <w:rPr>
          <w:rFonts w:hint="eastAsia" w:ascii="黑体" w:hAnsi="黑体" w:eastAsia="黑体" w:cs="黑体"/>
          <w:sz w:val="32"/>
          <w:szCs w:val="32"/>
        </w:rPr>
        <w:t>责令改正的依据、种类及其履行方式和期限</w:t>
      </w:r>
    </w:p>
    <w:p w14:paraId="1B1BAC58">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的上述行为，违反了《中华人民共和国水污染防治法》第三十三条第一款</w:t>
      </w:r>
      <w:r>
        <w:rPr>
          <w:rFonts w:hint="eastAsia" w:ascii="仿宋_GB2312" w:hAnsi="仿宋_GB2312" w:eastAsia="仿宋_GB2312" w:cs="仿宋_GB2312"/>
          <w:sz w:val="32"/>
          <w:szCs w:val="32"/>
          <w:lang w:val="en-US" w:eastAsia="zh-CN"/>
        </w:rPr>
        <w:t>“禁止向水体排放油类、酸液、碱液或者剧毒废液。”</w:t>
      </w:r>
      <w:r>
        <w:rPr>
          <w:rFonts w:hint="eastAsia" w:ascii="仿宋_GB2312" w:hAnsi="仿宋_GB2312" w:eastAsia="仿宋_GB2312" w:cs="仿宋_GB2312"/>
          <w:sz w:val="32"/>
          <w:szCs w:val="32"/>
        </w:rPr>
        <w:t>的规定，依据《中华人民共和国水污染防治法》第八十五条第一款第一项</w:t>
      </w:r>
      <w:r>
        <w:rPr>
          <w:rFonts w:hint="eastAsia" w:ascii="仿宋_GB2312" w:hAnsi="仿宋_GB2312" w:eastAsia="仿宋_GB2312" w:cs="仿宋_GB2312"/>
          <w:sz w:val="32"/>
          <w:szCs w:val="32"/>
          <w:lang w:eastAsia="zh-CN"/>
        </w:rPr>
        <w:t>“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的</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bCs/>
          <w:sz w:val="32"/>
          <w:szCs w:val="32"/>
        </w:rPr>
        <w:t>自收到本决定书之日起</w:t>
      </w:r>
      <w:r>
        <w:rPr>
          <w:rFonts w:hint="eastAsia" w:ascii="仿宋_GB2312" w:hAnsi="仿宋_GB2312" w:eastAsia="仿宋_GB2312" w:cs="仿宋_GB2312"/>
          <w:b/>
          <w:bCs/>
          <w:sz w:val="32"/>
          <w:szCs w:val="32"/>
          <w:lang w:eastAsia="zh-CN"/>
        </w:rPr>
        <w:t>立即停止向自然水体排放油类污染物的违法行为，并限期7日内采取治理措施消除污染</w:t>
      </w:r>
      <w:r>
        <w:rPr>
          <w:rFonts w:hint="eastAsia" w:ascii="仿宋_GB2312" w:hAnsi="仿宋_GB2312" w:eastAsia="仿宋_GB2312" w:cs="仿宋_GB2312"/>
          <w:b/>
          <w:bCs/>
          <w:sz w:val="32"/>
          <w:szCs w:val="32"/>
        </w:rPr>
        <w:t>。</w:t>
      </w:r>
    </w:p>
    <w:p w14:paraId="77DB40EB">
      <w:pPr>
        <w:keepNext w:val="0"/>
        <w:keepLines w:val="0"/>
        <w:pageBreakBefore w:val="0"/>
        <w:overflowPunct/>
        <w:topLinePunct w:val="0"/>
        <w:autoSpaceDE/>
        <w:autoSpaceDN/>
        <w:bidi w:val="0"/>
        <w:adjustRightInd w:val="0"/>
        <w:snapToGrid w:val="0"/>
        <w:spacing w:line="54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）采取治理措施消除污染</w:t>
      </w:r>
      <w:r>
        <w:rPr>
          <w:rFonts w:hint="eastAsia" w:ascii="仿宋_GB2312" w:hAnsi="仿宋_GB2312" w:eastAsia="仿宋_GB2312" w:cs="仿宋_GB2312"/>
          <w:b/>
          <w:bCs/>
          <w:sz w:val="32"/>
          <w:szCs w:val="32"/>
        </w:rPr>
        <w:t>的情况进行监督，如你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逾期</w:t>
      </w:r>
      <w:r>
        <w:rPr>
          <w:rFonts w:hint="eastAsia" w:ascii="仿宋_GB2312" w:hAnsi="仿宋_GB2312" w:eastAsia="仿宋_GB2312" w:cs="仿宋_GB2312"/>
          <w:b/>
          <w:bCs/>
          <w:sz w:val="32"/>
          <w:szCs w:val="32"/>
          <w:lang w:eastAsia="zh-CN"/>
        </w:rPr>
        <w:t>不采取治理措施的</w:t>
      </w:r>
      <w:r>
        <w:rPr>
          <w:rFonts w:hint="eastAsia" w:ascii="仿宋_GB2312" w:hAnsi="仿宋_GB2312" w:eastAsia="仿宋_GB2312" w:cs="仿宋_GB2312"/>
          <w:b/>
          <w:bCs/>
          <w:sz w:val="32"/>
          <w:szCs w:val="32"/>
        </w:rPr>
        <w:t>，我局将依照《中华人民共和国水污染防治法》第八十五条第一款第一项</w:t>
      </w:r>
      <w:r>
        <w:rPr>
          <w:rFonts w:hint="eastAsia" w:ascii="仿宋_GB2312" w:hAnsi="仿宋_GB2312" w:eastAsia="仿宋_GB2312" w:cs="仿宋_GB2312"/>
          <w:b/>
          <w:bCs/>
          <w:sz w:val="32"/>
          <w:szCs w:val="32"/>
          <w:lang w:eastAsia="zh-CN"/>
        </w:rPr>
        <w:t>“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w:t>
      </w:r>
      <w:r>
        <w:rPr>
          <w:rFonts w:hint="eastAsia" w:ascii="仿宋_GB2312" w:hAnsi="仿宋_GB2312" w:eastAsia="仿宋_GB2312" w:cs="仿宋_GB2312"/>
          <w:b/>
          <w:bCs/>
          <w:sz w:val="32"/>
          <w:szCs w:val="32"/>
        </w:rPr>
        <w:t>的规定，</w:t>
      </w:r>
      <w:r>
        <w:rPr>
          <w:rFonts w:hint="eastAsia" w:ascii="仿宋_GB2312" w:hAnsi="仿宋_GB2312" w:eastAsia="仿宋_GB2312" w:cs="仿宋_GB2312"/>
          <w:b/>
          <w:bCs/>
          <w:sz w:val="32"/>
          <w:szCs w:val="32"/>
          <w:lang w:eastAsia="zh-CN"/>
        </w:rPr>
        <w:t>指定有治理能力的单位代为治理，所需费用将由你（单位）承担</w:t>
      </w:r>
      <w:r>
        <w:rPr>
          <w:rFonts w:hint="eastAsia" w:ascii="仿宋_GB2312" w:hAnsi="仿宋_GB2312" w:eastAsia="仿宋_GB2312" w:cs="仿宋_GB2312"/>
          <w:b/>
          <w:bCs/>
          <w:sz w:val="32"/>
          <w:szCs w:val="32"/>
        </w:rPr>
        <w:t>。</w:t>
      </w:r>
    </w:p>
    <w:p w14:paraId="02B07733">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5FD3067F">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6BBBF76C">
      <w:pPr>
        <w:keepNext w:val="0"/>
        <w:keepLines w:val="0"/>
        <w:pageBreakBefore w:val="0"/>
        <w:widowControl w:val="0"/>
        <w:kinsoku/>
        <w:overflowPunct/>
        <w:topLinePunct w:val="0"/>
        <w:autoSpaceDE/>
        <w:autoSpaceDN/>
        <w:bidi w:val="0"/>
        <w:adjustRightInd w:val="0"/>
        <w:snapToGrid w:val="0"/>
        <w:spacing w:line="540" w:lineRule="exact"/>
        <w:ind w:left="0" w:leftChars="0"/>
        <w:jc w:val="both"/>
        <w:textAlignment w:val="auto"/>
        <w:rPr>
          <w:rFonts w:ascii="仿宋_GB2312" w:hAnsi="仿宋" w:eastAsia="仿宋_GB2312" w:cs="Times New Roman"/>
          <w:snapToGrid/>
          <w:kern w:val="2"/>
          <w:sz w:val="32"/>
          <w:szCs w:val="32"/>
        </w:rPr>
      </w:pPr>
    </w:p>
    <w:p w14:paraId="69AFC6D4">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03F811AB">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，联系电话：0750-3291707。</w:t>
      </w:r>
    </w:p>
    <w:p w14:paraId="7FE29D15">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0521C365">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79A14FC7">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40946D43">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7</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3</w:t>
      </w:r>
      <w:r>
        <w:rPr>
          <w:rFonts w:hint="eastAsia" w:ascii="仿宋_GB2312" w:hAnsi="仿宋" w:eastAsia="仿宋_GB2312" w:cs="Times New Roman"/>
          <w:snapToGrid/>
          <w:kern w:val="2"/>
          <w:sz w:val="32"/>
          <w:szCs w:val="32"/>
        </w:rPr>
        <w:t xml:space="preserve">日    </w:t>
      </w:r>
    </w:p>
    <w:p w14:paraId="71D4DE55">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4A0CBB6B">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1E398816">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3D042AE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0DE327E5">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59FFB89C">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3B42DD7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524D7EB9">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3E610D3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2D9F8BA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57C3ABAC">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0AB6AB3F">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4A960683">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60133FA2">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2956AB05">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3BD53D0E">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2322ABC9">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09DDE1A9">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77B21D9A">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29E5898B">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67930FAD">
      <w:pPr>
        <w:keepNext w:val="0"/>
        <w:keepLines w:val="0"/>
        <w:pageBreakBefore w:val="0"/>
        <w:widowControl w:val="0"/>
        <w:kinsoku/>
        <w:wordWrap/>
        <w:overflowPunct/>
        <w:topLinePunct w:val="0"/>
        <w:autoSpaceDE/>
        <w:autoSpaceDN/>
        <w:bidi w:val="0"/>
        <w:adjustRightInd w:val="0"/>
        <w:snapToGrid w:val="0"/>
        <w:spacing w:line="600" w:lineRule="exact"/>
        <w:ind w:left="0" w:leftChars="0"/>
        <w:jc w:val="right"/>
        <w:textAlignment w:val="auto"/>
        <w:rPr>
          <w:rFonts w:hint="eastAsia" w:ascii="仿宋_GB2312" w:hAnsi="仿宋" w:eastAsia="仿宋_GB2312" w:cs="Times New Roman"/>
          <w:snapToGrid/>
          <w:kern w:val="2"/>
          <w:sz w:val="32"/>
          <w:szCs w:val="32"/>
        </w:rPr>
      </w:pPr>
    </w:p>
    <w:p w14:paraId="346EE827">
      <w:pPr>
        <w:keepNext w:val="0"/>
        <w:keepLines w:val="0"/>
        <w:pageBreakBefore w:val="0"/>
        <w:widowControl w:val="0"/>
        <w:kinsoku/>
        <w:wordWrap/>
        <w:overflowPunct/>
        <w:topLinePunct w:val="0"/>
        <w:autoSpaceDE/>
        <w:autoSpaceDN/>
        <w:bidi w:val="0"/>
        <w:adjustRightInd w:val="0"/>
        <w:snapToGrid w:val="0"/>
        <w:spacing w:line="600" w:lineRule="exact"/>
        <w:ind w:left="0" w:leftChars="0"/>
        <w:jc w:val="right"/>
        <w:textAlignment w:val="auto"/>
        <w:rPr>
          <w:rFonts w:hint="eastAsia" w:ascii="仿宋_GB2312" w:hAnsi="仿宋" w:eastAsia="仿宋_GB2312" w:cs="Times New Roman"/>
          <w:snapToGrid/>
          <w:kern w:val="2"/>
          <w:sz w:val="32"/>
          <w:szCs w:val="32"/>
        </w:rPr>
      </w:pPr>
    </w:p>
    <w:p w14:paraId="6F3328FD">
      <w:pPr>
        <w:keepNext w:val="0"/>
        <w:keepLines w:val="0"/>
        <w:pageBreakBefore w:val="0"/>
        <w:widowControl w:val="0"/>
        <w:kinsoku/>
        <w:wordWrap/>
        <w:overflowPunct/>
        <w:topLinePunct w:val="0"/>
        <w:autoSpaceDE/>
        <w:autoSpaceDN/>
        <w:bidi w:val="0"/>
        <w:adjustRightInd w:val="0"/>
        <w:snapToGrid w:val="0"/>
        <w:spacing w:line="600" w:lineRule="exact"/>
        <w:ind w:left="0" w:leftChars="0"/>
        <w:jc w:val="right"/>
        <w:textAlignment w:val="auto"/>
        <w:rPr>
          <w:rFonts w:hint="eastAsia" w:ascii="仿宋_GB2312" w:hAnsi="仿宋" w:eastAsia="仿宋_GB2312" w:cs="Times New Roman"/>
          <w:snapToGrid/>
          <w:kern w:val="2"/>
          <w:sz w:val="32"/>
          <w:szCs w:val="32"/>
        </w:rPr>
      </w:pPr>
    </w:p>
    <w:p w14:paraId="659D98C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00C9A142">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tbl>
      <w:tblPr>
        <w:tblStyle w:val="5"/>
        <w:tblpPr w:leftFromText="180" w:rightFromText="180" w:vertAnchor="text" w:horzAnchor="page" w:tblpX="1630" w:tblpY="606"/>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6A01B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7B6D65C2">
            <w:pPr>
              <w:spacing w:line="540" w:lineRule="exact"/>
              <w:ind w:left="960" w:hanging="960" w:hanging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抄送：</w:t>
            </w:r>
            <w:r>
              <w:rPr>
                <w:rFonts w:hint="eastAsia" w:ascii="仿宋_GB2312" w:hAnsi="仿宋" w:eastAsia="仿宋_GB2312" w:cs="Times New Roman"/>
                <w:snapToGrid/>
                <w:kern w:val="2"/>
                <w:sz w:val="32"/>
                <w:szCs w:val="32"/>
                <w:lang w:eastAsia="zh-CN"/>
              </w:rPr>
              <w:t>荷塘镇人民政府</w:t>
            </w:r>
          </w:p>
        </w:tc>
      </w:tr>
    </w:tbl>
    <w:p w14:paraId="326CEA63">
      <w:pPr>
        <w:keepNext w:val="0"/>
        <w:keepLines w:val="0"/>
        <w:pageBreakBefore w:val="0"/>
        <w:widowControl w:val="0"/>
        <w:kinsoku/>
        <w:wordWrap/>
        <w:overflowPunct/>
        <w:topLinePunct w:val="0"/>
        <w:autoSpaceDE/>
        <w:autoSpaceDN/>
        <w:bidi w:val="0"/>
        <w:adjustRightInd w:val="0"/>
        <w:snapToGrid w:val="0"/>
        <w:spacing w:line="540" w:lineRule="exact"/>
        <w:ind w:left="0" w:leftChars="0"/>
        <w:jc w:val="both"/>
        <w:textAlignment w:val="auto"/>
        <w:rPr>
          <w:rFonts w:hint="eastAsia" w:ascii="仿宋_GB2312" w:hAnsi="仿宋" w:eastAsia="仿宋_GB2312" w:cs="Times New Roman"/>
          <w:snapToGrid/>
          <w:kern w:val="2"/>
          <w:sz w:val="32"/>
          <w:szCs w:val="32"/>
        </w:rPr>
      </w:pPr>
    </w:p>
    <w:p w14:paraId="74DF27BB">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13111AF9">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383B891C">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5902142E">
      <w:pPr>
        <w:keepNext w:val="0"/>
        <w:keepLines w:val="0"/>
        <w:pageBreakBefore w:val="0"/>
        <w:widowControl/>
        <w:tabs>
          <w:tab w:val="left" w:pos="1435"/>
        </w:tabs>
        <w:kinsoku w:val="0"/>
        <w:wordWrap/>
        <w:overflowPunct/>
        <w:topLinePunct w:val="0"/>
        <w:autoSpaceDE w:val="0"/>
        <w:autoSpaceDN w:val="0"/>
        <w:bidi w:val="0"/>
        <w:adjustRightInd w:val="0"/>
        <w:snapToGrid w:val="0"/>
        <w:spacing w:line="20" w:lineRule="exact"/>
        <w:jc w:val="left"/>
        <w:textAlignment w:val="baseline"/>
        <w:rPr>
          <w:rFonts w:hint="eastAsia"/>
          <w:lang w:val="en-US" w:eastAsia="zh-CN"/>
        </w:rPr>
      </w:pPr>
    </w:p>
    <w:sectPr>
      <w:footerReference r:id="rId3"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3C67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7A74">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787A74">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023AFB"/>
    <w:rsid w:val="002237E9"/>
    <w:rsid w:val="00647BA4"/>
    <w:rsid w:val="00AA3CEC"/>
    <w:rsid w:val="01881FD6"/>
    <w:rsid w:val="022F3A28"/>
    <w:rsid w:val="05134C2B"/>
    <w:rsid w:val="05542DE0"/>
    <w:rsid w:val="08C4786D"/>
    <w:rsid w:val="09E153CF"/>
    <w:rsid w:val="0A0D0E47"/>
    <w:rsid w:val="0AD53B21"/>
    <w:rsid w:val="0BA30A45"/>
    <w:rsid w:val="0D7336B7"/>
    <w:rsid w:val="0DB029F1"/>
    <w:rsid w:val="0F450E31"/>
    <w:rsid w:val="13CD319C"/>
    <w:rsid w:val="165346FD"/>
    <w:rsid w:val="1C6C379B"/>
    <w:rsid w:val="1E8768A2"/>
    <w:rsid w:val="1FF2444B"/>
    <w:rsid w:val="24ED3020"/>
    <w:rsid w:val="257B169F"/>
    <w:rsid w:val="26313440"/>
    <w:rsid w:val="2A337B97"/>
    <w:rsid w:val="2B505012"/>
    <w:rsid w:val="2CD75B6D"/>
    <w:rsid w:val="34787957"/>
    <w:rsid w:val="35A869E3"/>
    <w:rsid w:val="36BA6878"/>
    <w:rsid w:val="372F61A0"/>
    <w:rsid w:val="39FD2B54"/>
    <w:rsid w:val="3A95066C"/>
    <w:rsid w:val="3D5E034E"/>
    <w:rsid w:val="3E1000A4"/>
    <w:rsid w:val="3EF232D4"/>
    <w:rsid w:val="42170286"/>
    <w:rsid w:val="423D31D7"/>
    <w:rsid w:val="45A35CF1"/>
    <w:rsid w:val="462B36BF"/>
    <w:rsid w:val="464257C4"/>
    <w:rsid w:val="49732C23"/>
    <w:rsid w:val="4A294D53"/>
    <w:rsid w:val="4ACA77B0"/>
    <w:rsid w:val="4D045F9C"/>
    <w:rsid w:val="4D07132D"/>
    <w:rsid w:val="54A43D05"/>
    <w:rsid w:val="59700824"/>
    <w:rsid w:val="5A6C5E26"/>
    <w:rsid w:val="5EBB6A14"/>
    <w:rsid w:val="614E1E31"/>
    <w:rsid w:val="63EA117A"/>
    <w:rsid w:val="6C70648D"/>
    <w:rsid w:val="6F783C5D"/>
    <w:rsid w:val="6FF7286B"/>
    <w:rsid w:val="743A2544"/>
    <w:rsid w:val="77BC0DAF"/>
    <w:rsid w:val="7956058E"/>
    <w:rsid w:val="7C5C650E"/>
    <w:rsid w:val="7E9C12A2"/>
    <w:rsid w:val="7FAD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Char"/>
    <w:basedOn w:val="6"/>
    <w:link w:val="4"/>
    <w:qFormat/>
    <w:uiPriority w:val="0"/>
    <w:rPr>
      <w:rFonts w:ascii="Arial" w:hAnsi="Arial" w:eastAsia="Arial" w:cs="Arial"/>
      <w:snapToGrid w:val="0"/>
      <w:color w:val="000000"/>
      <w:sz w:val="18"/>
      <w:szCs w:val="18"/>
    </w:rPr>
  </w:style>
  <w:style w:type="character" w:customStyle="1" w:styleId="8">
    <w:name w:val="页脚 Char"/>
    <w:basedOn w:val="6"/>
    <w:link w:val="3"/>
    <w:qFormat/>
    <w:uiPriority w:val="0"/>
    <w:rPr>
      <w:rFonts w:ascii="Arial" w:hAnsi="Arial" w:eastAsia="Arial" w:cs="Arial"/>
      <w:snapToGrid w:val="0"/>
      <w:color w:val="000000"/>
      <w:sz w:val="18"/>
      <w:szCs w:val="18"/>
    </w:rPr>
  </w:style>
  <w:style w:type="character" w:customStyle="1" w:styleId="9">
    <w:name w:val="批注框文本 Char"/>
    <w:basedOn w:val="6"/>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2232</Words>
  <Characters>2465</Characters>
  <Lines>5</Lines>
  <Paragraphs>1</Paragraphs>
  <TotalTime>16</TotalTime>
  <ScaleCrop>false</ScaleCrop>
  <LinksUpToDate>false</LinksUpToDate>
  <CharactersWithSpaces>2477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2026-03-13T08:14:00Z</cp:lastPrinted>
  <dcterms:modified xsi:type="dcterms:W3CDTF">2026-07-03T07:53:00Z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