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_GBK" w:eastAsia="方正小标宋_GBK" w:cs="方正小标宋_GBK"/>
          <w:spacing w:val="10"/>
          <w:sz w:val="44"/>
          <w:szCs w:val="44"/>
        </w:rPr>
      </w:pPr>
      <w:r>
        <w:rPr>
          <w:rFonts w:hint="eastAsia" w:ascii="方正小标宋_GBK" w:eastAsia="方正小标宋_GBK" w:cs="方正小标宋_GBK"/>
          <w:spacing w:val="10"/>
          <w:sz w:val="44"/>
          <w:szCs w:val="44"/>
        </w:rPr>
        <w:t>关于2019年蓬江区委、区政府主要</w:t>
      </w:r>
    </w:p>
    <w:p>
      <w:pPr>
        <w:spacing w:line="576" w:lineRule="exact"/>
        <w:jc w:val="center"/>
        <w:rPr>
          <w:rFonts w:ascii="方正小标宋_GBK" w:eastAsia="方正小标宋_GBK" w:cs="方正小标宋_GBK"/>
          <w:spacing w:val="10"/>
          <w:sz w:val="44"/>
          <w:szCs w:val="44"/>
        </w:rPr>
      </w:pPr>
      <w:r>
        <w:rPr>
          <w:rFonts w:hint="eastAsia" w:ascii="方正小标宋_GBK" w:eastAsia="方正小标宋_GBK" w:cs="方正小标宋_GBK"/>
          <w:spacing w:val="10"/>
          <w:sz w:val="44"/>
          <w:szCs w:val="44"/>
        </w:rPr>
        <w:t>工作任务和重点民生实事</w:t>
      </w:r>
    </w:p>
    <w:p>
      <w:pPr>
        <w:spacing w:line="576" w:lineRule="exact"/>
        <w:jc w:val="center"/>
        <w:rPr>
          <w:rFonts w:ascii="方正小标宋_GBK" w:eastAsia="方正小标宋_GBK" w:cs="方正小标宋_GBK"/>
          <w:spacing w:val="10"/>
          <w:sz w:val="44"/>
          <w:szCs w:val="44"/>
        </w:rPr>
      </w:pPr>
      <w:r>
        <w:rPr>
          <w:rFonts w:hint="eastAsia" w:ascii="方正小标宋_GBK" w:eastAsia="方正小标宋_GBK" w:cs="方正小标宋_GBK"/>
          <w:spacing w:val="10"/>
          <w:sz w:val="44"/>
          <w:szCs w:val="44"/>
        </w:rPr>
        <w:t>第一季度进展情况的通报</w:t>
      </w:r>
    </w:p>
    <w:p>
      <w:pPr>
        <w:adjustRightInd w:val="0"/>
        <w:snapToGrid w:val="0"/>
        <w:spacing w:line="576" w:lineRule="exact"/>
        <w:rPr>
          <w:rFonts w:ascii="仿宋_GB2312" w:eastAsia="仿宋_GB2312" w:cs="Times New Roman"/>
          <w:spacing w:val="10"/>
          <w:sz w:val="32"/>
          <w:szCs w:val="32"/>
        </w:rPr>
      </w:pPr>
    </w:p>
    <w:p>
      <w:pPr>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今年初，我办下发了《关于印发&lt;2019年蓬江区委、区政府主要工作任务分解表&gt;的通知》（蓬江督办〔2019〕3号），明确了各镇、街、区直各单位的工作任务。根据区领导的部署要求，区委、区政府信息督查室对2019年蓬江区委、区政府重点工作任务完成情况进行了专项督查，现将督查情况通报如下：</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一、市、区重点工作方面</w:t>
      </w:r>
    </w:p>
    <w:p>
      <w:pPr>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一季度市委、市政府交办的重点工作共17项，其中市委交办重点工作共2项，市政府重点工作交办共15项，均能按时间进度完成；区委、区政府重点工作共114项，其中按时间进度完成114项，基本按进度完成1项。基本按进度完成的工作任务为：</w:t>
      </w:r>
    </w:p>
    <w:p>
      <w:pPr>
        <w:spacing w:line="576" w:lineRule="exact"/>
        <w:ind w:firstLine="642" w:firstLineChars="200"/>
        <w:rPr>
          <w:rFonts w:ascii="仿宋_GB2312" w:hAnsi="仿宋" w:eastAsia="仿宋_GB2312"/>
          <w:sz w:val="32"/>
          <w:szCs w:val="32"/>
        </w:rPr>
      </w:pPr>
      <w:r>
        <w:rPr>
          <w:rFonts w:hint="eastAsia" w:ascii="仿宋_GB2312" w:hAnsi="仿宋" w:eastAsia="仿宋_GB2312"/>
          <w:b/>
          <w:sz w:val="32"/>
          <w:szCs w:val="32"/>
        </w:rPr>
        <w:t>“力争实现工业投资85亿元，力促落地一批、动工一批、投产一批、达产一批工业项目”。</w:t>
      </w:r>
      <w:r>
        <w:rPr>
          <w:rFonts w:hint="eastAsia" w:ascii="仿宋_GB2312" w:hAnsi="仿宋" w:eastAsia="仿宋_GB2312"/>
          <w:sz w:val="32"/>
          <w:szCs w:val="32"/>
        </w:rPr>
        <w:t>截至3月底，全区完成工业投资6.03亿元，同比下降25.67%。主要原因和下一步建议在第一点“重要指标方面”已详述。</w:t>
      </w:r>
    </w:p>
    <w:p>
      <w:pPr>
        <w:spacing w:line="576" w:lineRule="exact"/>
        <w:ind w:firstLine="640" w:firstLineChars="200"/>
        <w:rPr>
          <w:rFonts w:ascii="黑体" w:hAnsi="黑体" w:eastAsia="黑体"/>
          <w:sz w:val="32"/>
          <w:szCs w:val="32"/>
        </w:rPr>
      </w:pPr>
      <w:r>
        <w:rPr>
          <w:rFonts w:hint="eastAsia" w:ascii="黑体" w:hAnsi="黑体" w:eastAsia="黑体"/>
          <w:sz w:val="32"/>
          <w:szCs w:val="32"/>
        </w:rPr>
        <w:t>二、民生实事方面</w:t>
      </w:r>
    </w:p>
    <w:p>
      <w:pPr>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2019年蓬江区民生实事工作任务共20项。一季度全区各级强化工作责任，积极采取有力措施，以人民对美好生活的向往为奋斗目标，切实为人民群众解决与生产、生活密切相关的热点难点问题，较好地完成了一季度民生实事节点任务。请各单位继续真抓实干，用好“绣花功夫”不断推动民生保障、城市品质、公共服务等优化提升，让群众有更多获得感、幸福感、安全感。</w:t>
      </w:r>
    </w:p>
    <w:p>
      <w:pPr>
        <w:spacing w:line="576" w:lineRule="exact"/>
        <w:ind w:firstLine="640" w:firstLineChars="200"/>
        <w:rPr>
          <w:rFonts w:ascii="仿宋_GB2312" w:hAnsi="仿宋" w:eastAsia="仿宋_GB2312"/>
          <w:sz w:val="32"/>
          <w:szCs w:val="32"/>
        </w:rPr>
      </w:pPr>
    </w:p>
    <w:p>
      <w:pPr>
        <w:spacing w:line="576" w:lineRule="exact"/>
        <w:ind w:firstLine="640" w:firstLineChars="200"/>
        <w:rPr>
          <w:rFonts w:ascii="仿宋_GB2312" w:hAnsi="仿宋" w:eastAsia="仿宋_GB2312"/>
          <w:sz w:val="32"/>
          <w:szCs w:val="32"/>
        </w:rPr>
      </w:pPr>
    </w:p>
    <w:p>
      <w:pPr>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附件：1.</w:t>
      </w:r>
      <w:r>
        <w:rPr>
          <w:rFonts w:hint="eastAsia"/>
        </w:rPr>
        <w:t xml:space="preserve"> </w:t>
      </w:r>
      <w:r>
        <w:rPr>
          <w:rFonts w:hint="eastAsia" w:ascii="仿宋_GB2312" w:hAnsi="仿宋" w:eastAsia="仿宋_GB2312"/>
          <w:sz w:val="32"/>
          <w:szCs w:val="32"/>
        </w:rPr>
        <w:t>2019年蓬江区委、区政府主要工作任务分解表</w:t>
      </w:r>
    </w:p>
    <w:p>
      <w:pPr>
        <w:spacing w:line="576" w:lineRule="exact"/>
        <w:ind w:left="1920" w:hanging="1920" w:hangingChars="600"/>
        <w:rPr>
          <w:rFonts w:ascii="仿宋_GB2312" w:hAnsi="仿宋" w:eastAsia="仿宋_GB2312"/>
          <w:sz w:val="32"/>
          <w:szCs w:val="32"/>
        </w:rPr>
      </w:pPr>
      <w:r>
        <w:rPr>
          <w:rFonts w:hint="eastAsia" w:ascii="仿宋_GB2312" w:hAnsi="仿宋" w:eastAsia="仿宋_GB2312"/>
          <w:sz w:val="32"/>
          <w:szCs w:val="32"/>
        </w:rPr>
        <w:t xml:space="preserve">          2.市重点项目一季度未达时间进度和未按计划开工情况表</w:t>
      </w:r>
    </w:p>
    <w:p>
      <w:pPr>
        <w:spacing w:line="576" w:lineRule="exact"/>
        <w:rPr>
          <w:rFonts w:ascii="仿宋_GB2312" w:hAnsi="仿宋" w:eastAsia="仿宋_GB2312"/>
          <w:sz w:val="32"/>
          <w:szCs w:val="32"/>
        </w:rPr>
      </w:pPr>
    </w:p>
    <w:p>
      <w:pPr>
        <w:spacing w:line="576" w:lineRule="exact"/>
        <w:rPr>
          <w:rFonts w:ascii="仿宋_GB2312" w:hAnsi="仿宋" w:eastAsia="仿宋_GB2312"/>
          <w:sz w:val="32"/>
          <w:szCs w:val="32"/>
        </w:rPr>
      </w:pPr>
    </w:p>
    <w:p>
      <w:pPr>
        <w:wordWrap w:val="0"/>
        <w:spacing w:line="576" w:lineRule="exact"/>
        <w:ind w:right="651" w:rightChars="310" w:firstLine="640" w:firstLineChars="200"/>
        <w:jc w:val="right"/>
        <w:rPr>
          <w:rFonts w:ascii="仿宋_GB2312" w:hAnsi="仿宋_GB2312" w:eastAsia="仿宋_GB2312" w:cs="Times New Roman"/>
          <w:sz w:val="32"/>
          <w:szCs w:val="32"/>
        </w:rPr>
        <w:sectPr>
          <w:footerReference r:id="rId3" w:type="default"/>
          <w:footerReference r:id="rId4" w:type="even"/>
          <w:pgSz w:w="11907" w:h="16840"/>
          <w:pgMar w:top="2098" w:right="1588" w:bottom="1985" w:left="1588" w:header="851" w:footer="1588" w:gutter="0"/>
          <w:pgNumType w:fmt="numberInDash"/>
          <w:cols w:space="425" w:num="1"/>
          <w:docGrid w:linePitch="312" w:charSpace="0"/>
        </w:sectPr>
      </w:pPr>
    </w:p>
    <w:p>
      <w:pPr>
        <w:spacing w:line="500" w:lineRule="exact"/>
        <w:jc w:val="left"/>
        <w:rPr>
          <w:rFonts w:ascii="黑体" w:hAnsi="黑体" w:eastAsia="黑体" w:cs="黑体"/>
          <w:sz w:val="32"/>
          <w:szCs w:val="32"/>
        </w:rPr>
      </w:pPr>
      <w:r>
        <w:rPr>
          <w:rFonts w:hint="eastAsia" w:ascii="黑体" w:hAnsi="黑体" w:eastAsia="黑体" w:cs="黑体"/>
          <w:sz w:val="32"/>
          <w:szCs w:val="32"/>
        </w:rPr>
        <w:t>附件1</w:t>
      </w:r>
    </w:p>
    <w:p>
      <w:pPr>
        <w:spacing w:line="500" w:lineRule="exact"/>
        <w:jc w:val="left"/>
        <w:rPr>
          <w:rFonts w:ascii="黑体" w:hAnsi="黑体" w:eastAsia="黑体" w:cs="Times New Roman"/>
          <w:sz w:val="32"/>
          <w:szCs w:val="32"/>
        </w:rPr>
      </w:pPr>
    </w:p>
    <w:p>
      <w:pPr>
        <w:spacing w:line="560" w:lineRule="exact"/>
        <w:jc w:val="center"/>
        <w:rPr>
          <w:rFonts w:ascii="方正小标宋_GBK" w:eastAsia="方正小标宋_GBK" w:cs="方正小标宋_GBK"/>
          <w:spacing w:val="10"/>
          <w:sz w:val="44"/>
          <w:szCs w:val="44"/>
        </w:rPr>
      </w:pPr>
      <w:r>
        <w:rPr>
          <w:rFonts w:hint="eastAsia" w:ascii="方正小标宋_GBK" w:hAnsi="Times New Roman" w:eastAsia="方正小标宋_GBK" w:cs="方正小标宋_GBK"/>
          <w:sz w:val="44"/>
          <w:szCs w:val="44"/>
        </w:rPr>
        <w:t>2019年蓬江区委、区政府主要工作任务分解表</w:t>
      </w:r>
    </w:p>
    <w:p>
      <w:pPr>
        <w:spacing w:line="500" w:lineRule="exact"/>
        <w:jc w:val="center"/>
        <w:rPr>
          <w:rFonts w:ascii="黑体" w:hAnsi="黑体" w:eastAsia="黑体" w:cs="Times New Roman"/>
          <w:sz w:val="32"/>
          <w:szCs w:val="32"/>
        </w:rPr>
      </w:pPr>
      <w:r>
        <w:rPr>
          <w:rFonts w:hint="eastAsia" w:ascii="黑体" w:hAnsi="黑体" w:eastAsia="黑体" w:cs="黑体"/>
          <w:sz w:val="32"/>
          <w:szCs w:val="32"/>
        </w:rPr>
        <w:t>（总计151项）</w:t>
      </w:r>
    </w:p>
    <w:p>
      <w:pPr>
        <w:spacing w:line="400" w:lineRule="exact"/>
        <w:rPr>
          <w:rFonts w:ascii="黑体" w:hAnsi="黑体" w:eastAsia="黑体" w:cs="黑体"/>
          <w:sz w:val="32"/>
          <w:szCs w:val="32"/>
        </w:rPr>
      </w:pPr>
      <w:r>
        <w:rPr>
          <w:rFonts w:hint="eastAsia" w:ascii="黑体" w:hAnsi="黑体" w:eastAsia="黑体" w:cs="黑体"/>
          <w:sz w:val="32"/>
          <w:szCs w:val="32"/>
        </w:rPr>
        <w:t>一、市委、市政府交办（全年）重点工作（共17项，其中市委交办2项，市政府交办15项）</w:t>
      </w:r>
    </w:p>
    <w:tbl>
      <w:tblPr>
        <w:tblStyle w:val="18"/>
        <w:tblW w:w="15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270"/>
        <w:gridCol w:w="2206"/>
        <w:gridCol w:w="1134"/>
        <w:gridCol w:w="3119"/>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blHeader/>
          <w:jc w:val="center"/>
        </w:trPr>
        <w:tc>
          <w:tcPr>
            <w:tcW w:w="496" w:type="dxa"/>
            <w:vAlign w:val="center"/>
          </w:tcPr>
          <w:p>
            <w:pPr>
              <w:spacing w:line="360" w:lineRule="exact"/>
              <w:jc w:val="center"/>
              <w:rPr>
                <w:rFonts w:ascii="黑体" w:hAnsi="黑体" w:eastAsia="黑体" w:cs="Times New Roman"/>
                <w:sz w:val="28"/>
                <w:szCs w:val="28"/>
              </w:rPr>
            </w:pPr>
            <w:r>
              <w:rPr>
                <w:rFonts w:hint="eastAsia" w:ascii="黑体" w:hAnsi="黑体" w:eastAsia="黑体" w:cs="黑体"/>
                <w:sz w:val="28"/>
                <w:szCs w:val="28"/>
              </w:rPr>
              <w:t>序号</w:t>
            </w:r>
          </w:p>
        </w:tc>
        <w:tc>
          <w:tcPr>
            <w:tcW w:w="3476" w:type="dxa"/>
            <w:gridSpan w:val="2"/>
            <w:vAlign w:val="center"/>
          </w:tcPr>
          <w:p>
            <w:pPr>
              <w:spacing w:line="360" w:lineRule="exact"/>
              <w:jc w:val="center"/>
              <w:rPr>
                <w:rFonts w:ascii="黑体" w:hAnsi="黑体" w:eastAsia="黑体" w:cs="Times New Roman"/>
                <w:sz w:val="28"/>
                <w:szCs w:val="28"/>
              </w:rPr>
            </w:pPr>
            <w:r>
              <w:rPr>
                <w:rFonts w:hint="eastAsia" w:ascii="黑体" w:hAnsi="黑体" w:eastAsia="黑体" w:cs="黑体"/>
                <w:sz w:val="28"/>
                <w:szCs w:val="28"/>
              </w:rPr>
              <w:t>工作内容</w:t>
            </w:r>
          </w:p>
        </w:tc>
        <w:tc>
          <w:tcPr>
            <w:tcW w:w="1134" w:type="dxa"/>
            <w:vAlign w:val="center"/>
          </w:tcPr>
          <w:p>
            <w:pPr>
              <w:spacing w:line="360" w:lineRule="exact"/>
              <w:jc w:val="center"/>
              <w:rPr>
                <w:rFonts w:ascii="黑体" w:hAnsi="黑体" w:eastAsia="黑体" w:cs="Times New Roman"/>
                <w:sz w:val="28"/>
                <w:szCs w:val="28"/>
              </w:rPr>
            </w:pPr>
            <w:r>
              <w:rPr>
                <w:rFonts w:hint="eastAsia" w:ascii="黑体" w:hAnsi="黑体" w:eastAsia="黑体" w:cs="Times New Roman"/>
                <w:sz w:val="28"/>
                <w:szCs w:val="28"/>
              </w:rPr>
              <w:t>责任</w:t>
            </w:r>
          </w:p>
          <w:p>
            <w:pPr>
              <w:spacing w:line="360" w:lineRule="exact"/>
              <w:jc w:val="center"/>
              <w:rPr>
                <w:rFonts w:ascii="黑体" w:hAnsi="黑体" w:eastAsia="黑体" w:cs="Times New Roman"/>
                <w:sz w:val="28"/>
                <w:szCs w:val="28"/>
              </w:rPr>
            </w:pPr>
            <w:r>
              <w:rPr>
                <w:rFonts w:hint="eastAsia" w:ascii="黑体" w:hAnsi="黑体" w:eastAsia="黑体" w:cs="Times New Roman"/>
                <w:sz w:val="28"/>
                <w:szCs w:val="28"/>
              </w:rPr>
              <w:t>领导</w:t>
            </w:r>
          </w:p>
        </w:tc>
        <w:tc>
          <w:tcPr>
            <w:tcW w:w="3119" w:type="dxa"/>
            <w:vAlign w:val="center"/>
          </w:tcPr>
          <w:p>
            <w:pPr>
              <w:spacing w:line="360" w:lineRule="exact"/>
              <w:jc w:val="center"/>
              <w:rPr>
                <w:rFonts w:ascii="黑体" w:hAnsi="黑体" w:eastAsia="黑体" w:cs="Times New Roman"/>
                <w:sz w:val="28"/>
                <w:szCs w:val="28"/>
              </w:rPr>
            </w:pPr>
            <w:r>
              <w:rPr>
                <w:rFonts w:hint="eastAsia" w:ascii="黑体" w:hAnsi="黑体" w:eastAsia="黑体" w:cs="黑体"/>
                <w:sz w:val="28"/>
                <w:szCs w:val="28"/>
              </w:rPr>
              <w:t>责任单位</w:t>
            </w:r>
          </w:p>
        </w:tc>
        <w:tc>
          <w:tcPr>
            <w:tcW w:w="7200" w:type="dxa"/>
            <w:vAlign w:val="center"/>
          </w:tcPr>
          <w:p>
            <w:pPr>
              <w:spacing w:line="360" w:lineRule="exact"/>
              <w:ind w:left="-107" w:leftChars="-51" w:right="-82" w:rightChars="-39"/>
              <w:jc w:val="center"/>
              <w:rPr>
                <w:rFonts w:ascii="黑体" w:hAnsi="黑体" w:eastAsia="黑体" w:cs="Times New Roman"/>
                <w:sz w:val="28"/>
                <w:szCs w:val="28"/>
              </w:rPr>
            </w:pPr>
            <w:r>
              <w:rPr>
                <w:rFonts w:hint="eastAsia" w:ascii="黑体" w:hAnsi="黑体" w:eastAsia="黑体" w:cs="黑体"/>
                <w:sz w:val="28"/>
                <w:szCs w:val="28"/>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4"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宋体" w:hAnsi="宋体" w:cs="Times New Roman"/>
                <w:sz w:val="24"/>
                <w:szCs w:val="24"/>
              </w:rPr>
              <w:t>*</w:t>
            </w:r>
            <w:r>
              <w:rPr>
                <w:rFonts w:hint="eastAsia" w:ascii="仿宋_GB2312" w:hAnsi="宋体" w:eastAsia="仿宋_GB2312" w:cs="Times New Roman"/>
                <w:sz w:val="24"/>
                <w:szCs w:val="24"/>
              </w:rPr>
              <w:t>加快建设江门人才岛，打造立足珠西、面向粤港澳大湾区的人才基地。</w:t>
            </w:r>
            <w:r>
              <w:rPr>
                <w:rFonts w:hint="eastAsia" w:ascii="仿宋_GB2312" w:hAnsi="宋体" w:eastAsia="仿宋_GB2312"/>
                <w:b/>
                <w:sz w:val="24"/>
                <w:szCs w:val="24"/>
              </w:rPr>
              <w:t>（牵头单位：人才岛建设指挥部办公室）</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黎国新</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人才岛建设指挥部办公室</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江门人才岛全岛开发建设项目已列入广东省2019年重点项目，并列入粤港澳大湾区三年行动计划，目前江门人才岛项目开发建设全面加快推进。</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1.已完善组织架构，并制定了一系列工作制度。</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2.已完成项目立项和项目招标工作。</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3.已完成项目总体规划，江门市潮连岛PJ06-A地段和PJ06-D地段控规修改方案已经市规委会审议通过。潮连岛PJ06-B、PJ06-C、PJ06-E、PJ06-F地段的控规初步成果已出，已经完成公示，计划6月可报市规委会审议。</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4.确定2018年实施建设项目共三类18个，年度完成总投资25.82亿元。</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5.确定2019年计划完成投资50亿元，建设道路、水系、环岛公园等项目共64个，一季度已动工建设项目13个，总投资约25.1亿元，已有26个项目正在方案设计中。</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6.产业规划和导入方面，已签署3个产业规划合同，目前正在积极研究制定产业导入正面清单。</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7.积极推动制定针对江门人才岛的“1+N”政策，其中《关于加快人才岛开发建设的实施意见》已完成第二轮征求意见，岛内人才政策、招商引资政策、产业政策、总部经济政策、土地出让政策等正在积极推动中。</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8.土地收储方面，2017年已收储土地2835亩，2018年收储土地747亩，2019年计划开展岛内农用地全征收工作。</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9.资金到位情况方面，</w:t>
            </w:r>
            <w:r>
              <w:rPr>
                <w:rFonts w:hint="eastAsia" w:ascii="仿宋_GB2312" w:hAnsi="黑体" w:eastAsia="仿宋_GB2312" w:cs="Times New Roman"/>
                <w:sz w:val="24"/>
                <w:szCs w:val="24"/>
                <w:lang w:eastAsia="zh-CN"/>
              </w:rPr>
              <w:t>截至</w:t>
            </w:r>
            <w:r>
              <w:rPr>
                <w:rFonts w:hint="eastAsia" w:ascii="仿宋_GB2312" w:hAnsi="黑体" w:eastAsia="仿宋_GB2312" w:cs="Times New Roman"/>
                <w:sz w:val="24"/>
                <w:szCs w:val="24"/>
              </w:rPr>
              <w:t>2019年4月13日，项目公司共收到各股东资本金1.71664亿元。同时，融资工作正在加快推进，为打通融资渠道，指挥部办公室对当前融资方式及路径进行了多次研究讨论。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jc w:val="center"/>
        </w:trPr>
        <w:tc>
          <w:tcPr>
            <w:tcW w:w="496" w:type="dxa"/>
            <w:vMerge w:val="restart"/>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宋体" w:hAnsi="宋体" w:cs="Times New Roman"/>
                <w:sz w:val="24"/>
                <w:szCs w:val="24"/>
              </w:rPr>
              <w:t>*</w:t>
            </w:r>
            <w:r>
              <w:rPr>
                <w:rFonts w:hint="eastAsia" w:ascii="仿宋_GB2312" w:hAnsi="宋体" w:eastAsia="仿宋_GB2312" w:cs="Times New Roman"/>
                <w:sz w:val="24"/>
                <w:szCs w:val="24"/>
              </w:rPr>
              <w:t>加快滨江新区总部基地建设。</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梁  朗</w:t>
            </w:r>
          </w:p>
        </w:tc>
        <w:tc>
          <w:tcPr>
            <w:tcW w:w="3119" w:type="dxa"/>
            <w:vAlign w:val="center"/>
          </w:tcPr>
          <w:p>
            <w:pPr>
              <w:spacing w:line="300" w:lineRule="exact"/>
              <w:ind w:left="-107" w:leftChars="-51" w:right="-82" w:rightChars="-39"/>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ind w:left="-107" w:leftChars="-51" w:right="-82" w:rightChars="-39"/>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ind w:left="-107" w:leftChars="-51" w:right="-82" w:rightChars="-39"/>
              <w:jc w:val="center"/>
              <w:rPr>
                <w:rFonts w:ascii="仿宋_GB2312" w:hAnsi="宋体" w:eastAsia="仿宋_GB2312"/>
                <w:sz w:val="24"/>
                <w:szCs w:val="24"/>
              </w:rPr>
            </w:pPr>
            <w:r>
              <w:rPr>
                <w:rFonts w:hint="eastAsia" w:ascii="仿宋_GB2312" w:hAnsi="宋体" w:eastAsia="仿宋_GB2312"/>
                <w:sz w:val="24"/>
                <w:szCs w:val="24"/>
              </w:rPr>
              <w:t>区土储中心</w:t>
            </w:r>
          </w:p>
          <w:p>
            <w:pPr>
              <w:spacing w:line="300" w:lineRule="exact"/>
              <w:ind w:left="-107" w:leftChars="-51" w:right="-82" w:rightChars="-39"/>
              <w:jc w:val="center"/>
              <w:rPr>
                <w:rFonts w:ascii="仿宋_GB2312" w:hAnsi="宋体" w:eastAsia="仿宋_GB2312"/>
                <w:sz w:val="24"/>
                <w:szCs w:val="24"/>
              </w:rPr>
            </w:pPr>
            <w:r>
              <w:rPr>
                <w:rFonts w:hint="eastAsia" w:ascii="仿宋_GB2312" w:hAnsi="宋体" w:eastAsia="仿宋_GB2312"/>
                <w:sz w:val="24"/>
                <w:szCs w:val="24"/>
              </w:rPr>
              <w:t>滨江新区管委会</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1.已将原来的分区分片开发模式向整体开发模式转变，对A、B地块原来分散的15个地块进行统一打包，连片规划、一体招商、一体开发、一体经营。</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2.正在编制C地块出让条件，便于余下地块挂牌工作顺利进行。</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3.已收储位于华南路以南、体育路以东地段的新昌留用地125亩，同时签订《留用地折现补偿协议》并支付首期补偿款。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496" w:type="dxa"/>
            <w:vMerge w:val="continue"/>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宋体" w:hAnsi="宋体" w:cs="Times New Roman"/>
                <w:sz w:val="24"/>
                <w:szCs w:val="24"/>
              </w:rPr>
            </w:pPr>
            <w:r>
              <w:rPr>
                <w:rFonts w:hint="eastAsia" w:ascii="宋体" w:hAnsi="宋体" w:cs="Times New Roman"/>
                <w:sz w:val="24"/>
                <w:szCs w:val="24"/>
              </w:rPr>
              <w:t>*</w:t>
            </w:r>
            <w:r>
              <w:rPr>
                <w:rFonts w:hint="eastAsia" w:ascii="仿宋_GB2312" w:hAnsi="宋体" w:eastAsia="仿宋_GB2312" w:cs="Times New Roman"/>
                <w:sz w:val="24"/>
                <w:szCs w:val="24"/>
              </w:rPr>
              <w:t>发挥滨江体育中心和珠西国际会展中心的作用，大力发展会展经济。</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梁  朗</w:t>
            </w:r>
          </w:p>
        </w:tc>
        <w:tc>
          <w:tcPr>
            <w:tcW w:w="3119" w:type="dxa"/>
            <w:vAlign w:val="center"/>
          </w:tcPr>
          <w:p>
            <w:pPr>
              <w:spacing w:line="300" w:lineRule="exact"/>
              <w:ind w:left="-107" w:leftChars="-51" w:right="-82" w:rightChars="-39"/>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ind w:left="-107" w:leftChars="-51" w:right="-82" w:rightChars="-39"/>
              <w:jc w:val="center"/>
              <w:rPr>
                <w:rFonts w:ascii="仿宋_GB2312" w:hAnsi="宋体" w:eastAsia="仿宋_GB2312"/>
                <w:sz w:val="24"/>
                <w:szCs w:val="24"/>
              </w:rPr>
            </w:pPr>
            <w:r>
              <w:rPr>
                <w:rFonts w:hint="eastAsia" w:ascii="仿宋_GB2312" w:hAnsi="宋体" w:eastAsia="仿宋_GB2312"/>
                <w:sz w:val="24"/>
                <w:szCs w:val="24"/>
              </w:rPr>
              <w:t>区文化广电旅游体育局</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1.截至3月底，蓬江区举办春季车展、童博会等会展活动共计5场。</w:t>
            </w:r>
          </w:p>
          <w:p>
            <w:pPr>
              <w:spacing w:line="30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2.</w:t>
            </w:r>
            <w:r>
              <w:rPr>
                <w:rFonts w:hint="eastAsia" w:ascii="仿宋_GB2312" w:eastAsia="仿宋_GB2312"/>
              </w:rPr>
              <w:t>下一步将</w:t>
            </w:r>
            <w:r>
              <w:rPr>
                <w:rFonts w:hint="eastAsia" w:ascii="仿宋_GB2312" w:hAnsi="宋体" w:eastAsia="仿宋_GB2312" w:cs="Times New Roman"/>
                <w:sz w:val="24"/>
                <w:szCs w:val="24"/>
              </w:rPr>
              <w:t>配合举办世界排球联赛、中国男子手球精英赛、全国少年儿童跳水锦标赛、全国女排锦标赛等大型体育赛事。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9" w:hRule="atLeast"/>
          <w:jc w:val="center"/>
        </w:trPr>
        <w:tc>
          <w:tcPr>
            <w:tcW w:w="496" w:type="dxa"/>
            <w:vMerge w:val="continue"/>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宋体" w:hAnsi="宋体" w:cs="Times New Roman"/>
                <w:sz w:val="24"/>
                <w:szCs w:val="24"/>
              </w:rPr>
            </w:pPr>
            <w:r>
              <w:rPr>
                <w:rFonts w:hint="eastAsia" w:ascii="宋体" w:hAnsi="宋体" w:cs="Times New Roman"/>
                <w:sz w:val="24"/>
                <w:szCs w:val="24"/>
              </w:rPr>
              <w:t>*</w:t>
            </w:r>
            <w:r>
              <w:rPr>
                <w:rFonts w:hint="eastAsia" w:ascii="仿宋_GB2312" w:hAnsi="宋体" w:eastAsia="仿宋_GB2312" w:cs="Times New Roman"/>
                <w:sz w:val="24"/>
                <w:szCs w:val="24"/>
              </w:rPr>
              <w:t>促进文化旅游体育产业融合发展。</w:t>
            </w:r>
            <w:r>
              <w:rPr>
                <w:rFonts w:hint="eastAsia" w:ascii="仿宋_GB2312" w:hAnsi="宋体" w:eastAsia="仿宋_GB2312"/>
                <w:b/>
                <w:sz w:val="24"/>
                <w:szCs w:val="24"/>
              </w:rPr>
              <w:t>（牵头单位：区文化广电旅游体育局）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梁凤琼</w:t>
            </w:r>
          </w:p>
        </w:tc>
        <w:tc>
          <w:tcPr>
            <w:tcW w:w="3119" w:type="dxa"/>
            <w:vAlign w:val="center"/>
          </w:tcPr>
          <w:p>
            <w:pPr>
              <w:spacing w:line="300" w:lineRule="exact"/>
              <w:ind w:left="-107" w:leftChars="-51" w:right="-82" w:rightChars="-39"/>
              <w:jc w:val="center"/>
              <w:rPr>
                <w:rFonts w:ascii="仿宋_GB2312" w:hAnsi="宋体" w:eastAsia="仿宋_GB2312"/>
                <w:sz w:val="24"/>
                <w:szCs w:val="24"/>
              </w:rPr>
            </w:pPr>
            <w:r>
              <w:rPr>
                <w:rFonts w:hint="eastAsia" w:ascii="仿宋_GB2312" w:hAnsi="宋体" w:eastAsia="仿宋_GB2312"/>
                <w:sz w:val="24"/>
                <w:szCs w:val="24"/>
              </w:rPr>
              <w:t>区文化广电旅游体育局</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1.中国侨镇项目基本已落实第一期用地,面积80亩。</w:t>
            </w:r>
          </w:p>
          <w:p>
            <w:pPr>
              <w:spacing w:line="30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2.先后邀请深圳华侨城集团、保利华南实业有限公司、大龙集团古兜旅游集团有限公司到蓬江考察洽谈，加大文旅招商引资力度。</w:t>
            </w:r>
          </w:p>
          <w:p>
            <w:pPr>
              <w:spacing w:line="300" w:lineRule="exact"/>
              <w:ind w:firstLine="480" w:firstLineChars="200"/>
              <w:rPr>
                <w:rFonts w:ascii="仿宋_GB2312" w:hAnsi="宋体" w:eastAsia="仿宋_GB2312" w:cs="Times New Roman"/>
                <w:sz w:val="24"/>
                <w:szCs w:val="24"/>
              </w:rPr>
            </w:pPr>
            <w:r>
              <w:rPr>
                <w:rFonts w:hint="eastAsia" w:ascii="仿宋_GB2312" w:hAnsi="宋体" w:eastAsia="仿宋_GB2312" w:cs="Times New Roman"/>
                <w:sz w:val="24"/>
                <w:szCs w:val="24"/>
              </w:rPr>
              <w:t>3.依托珠西会展中心和体育中心，成功举办许冠杰谭咏麟演唱会、李克勤演唱会等表演，计划将举办2019世界排球联赛（男子）和2019世界排球联赛（女子）等赛事。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9"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健全社会矛盾纠纷预防和多元化解机制，推进“全科网格”服务管理体系建设，着力把“鹤城模式”打造成“枫桥经验”的江门样本。</w:t>
            </w:r>
            <w:r>
              <w:rPr>
                <w:rFonts w:hint="eastAsia" w:ascii="仿宋_GB2312" w:hAnsi="宋体" w:eastAsia="仿宋_GB2312"/>
                <w:b/>
                <w:sz w:val="24"/>
                <w:szCs w:val="24"/>
              </w:rPr>
              <w:t>（牵头单位：区委政法委）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林伟勤</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区委政法委</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区公安分局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区政务服务数据管理局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区直有关单位</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区委政法委已转发省委政法委《关于建立矛盾纠纷多元化解衔接机制的通知》到各镇、街和区政法相关部门，并印发通知要求上述单位对照文件内容及要求，认真梳理，整理有关工作机制及做法。同时，制定并印发《关于成立江门市蓬江区社会治理综合指挥平台建设推进工作小组的通知》（江蓬政法〔2019〕15号），工作专班针对试点的实际，主要是入网格事项需求、视频监控、门禁+视频、工作机制等方面内容。目前正与区公安分局、应急管理局、三防办等单位进行调研和对接，梳理入格事项和相关工作机制。</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2.已转发省委政法委《关于建立矛盾纠纷多元化解衔接机制的通知》到各镇、街和区政法相关部门。</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3.于2月印发《关于提前做好完善矛盾纠纷多元化解衔接机制座谈会工作准备的通知》，要求各镇、街和区政法相关部门对照文件内容及要求，认真梳理，整理有关工作机制及做法。</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4.结合区社会治理综合指挥平台项目和全科网格化项目，健全主动排查矛盾纠纷机制，分别于2月和3月到浙江湖州、枫桥、杭州、深圳等地开展调研，了解全科网格化和综合指挥平台的建设经验及工作机制。</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5.4月份，分别到区公安、应急、棠下、白沙等单位开展调研，确定社会治理综合指挥平台项目和全科网格化项目系统平台需求，加快平台建设进度。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96" w:type="dxa"/>
            <w:vMerge w:val="restart"/>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restart"/>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高质量建设江门人才岛，完成年度投资50亿元，大力推进环岛景观带升级改造、国际教育培训中心、人才公寓等项目建设。</w:t>
            </w:r>
            <w:r>
              <w:rPr>
                <w:rFonts w:hint="eastAsia" w:ascii="仿宋_GB2312" w:hAnsi="宋体" w:eastAsia="仿宋_GB2312"/>
                <w:b/>
                <w:sz w:val="24"/>
                <w:szCs w:val="24"/>
              </w:rPr>
              <w:t>（牵头单位：人才岛建设指挥部办公室）</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黎国新</w:t>
            </w:r>
          </w:p>
        </w:tc>
        <w:tc>
          <w:tcPr>
            <w:tcW w:w="3119" w:type="dxa"/>
            <w:vMerge w:val="restart"/>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人才岛建设指挥部办公室</w:t>
            </w:r>
          </w:p>
        </w:tc>
        <w:tc>
          <w:tcPr>
            <w:tcW w:w="7200" w:type="dxa"/>
            <w:vMerge w:val="restart"/>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1.全岛首期“五化”工程共投资1000多万元，已完成并投入使用，有效提升全岛环境；</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2.指挥部驻岛办公室二期建设工程已完成并投入使用，目前正对驻岛办公室进行整体提升，包括对外立面和周边环境进行改造，以及对会议体统进行升级。项目公司和总承包部办公室已落成，实现驻岛办公。</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3.2019年计划建设项目64个，其中预备项目7个，总投资超50亿元。3月已动工建设项目13个，其中环岛公园样板工程基础建设部分已完成75%工程量，正进行景观绿化工程和配套工程建设；特成沙（人才公寓项目）已完成场地回填土59万方，排水完成30%；A片区征地工作已这完成，目前正开展收地工作，已收地280亩，潮连大道、振兴大道、A片区环岛公园、F片区环岛公园、F片区水系改造工程、展览馆已全面动工；全岛风貌整治提升改造工程、潮中路、青年路、祥和路等的勘察、方案设计等工作已完成，正在深化施工图设计，施工单位已进场开展清表、清杂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96" w:type="dxa"/>
            <w:vMerge w:val="continue"/>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continue"/>
            <w:vAlign w:val="center"/>
          </w:tcPr>
          <w:p>
            <w:pPr>
              <w:spacing w:line="300" w:lineRule="exact"/>
              <w:rPr>
                <w:rFonts w:ascii="仿宋_GB2312" w:hAnsi="宋体" w:eastAsia="仿宋_GB2312" w:cs="Times New Roman"/>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ind w:left="-107" w:leftChars="-51" w:right="-82" w:rightChars="-39"/>
              <w:jc w:val="center"/>
              <w:rPr>
                <w:rFonts w:ascii="仿宋_GB2312" w:hAnsi="黑体" w:eastAsia="仿宋_GB2312" w:cs="Times New Roman"/>
                <w:sz w:val="24"/>
                <w:szCs w:val="24"/>
              </w:rPr>
            </w:pPr>
          </w:p>
        </w:tc>
        <w:tc>
          <w:tcPr>
            <w:tcW w:w="7200"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5" w:hRule="atLeast"/>
          <w:jc w:val="center"/>
        </w:trPr>
        <w:tc>
          <w:tcPr>
            <w:tcW w:w="496" w:type="dxa"/>
            <w:vMerge w:val="continue"/>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continue"/>
            <w:vAlign w:val="center"/>
          </w:tcPr>
          <w:p>
            <w:pPr>
              <w:spacing w:line="300" w:lineRule="exact"/>
              <w:rPr>
                <w:rFonts w:ascii="仿宋_GB2312" w:hAnsi="宋体" w:eastAsia="仿宋_GB2312" w:cs="Times New Roman"/>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ind w:left="-107" w:leftChars="-51" w:right="-82" w:rightChars="-39"/>
              <w:jc w:val="center"/>
              <w:rPr>
                <w:rFonts w:ascii="仿宋_GB2312" w:hAnsi="黑体" w:eastAsia="仿宋_GB2312" w:cs="Times New Roman"/>
                <w:sz w:val="24"/>
                <w:szCs w:val="24"/>
              </w:rPr>
            </w:pPr>
          </w:p>
        </w:tc>
        <w:tc>
          <w:tcPr>
            <w:tcW w:w="7200"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加快推进江门市档案中心项目建设。</w:t>
            </w:r>
            <w:r>
              <w:rPr>
                <w:rFonts w:hint="eastAsia" w:ascii="仿宋_GB2312" w:hAnsi="宋体" w:eastAsia="仿宋_GB2312"/>
                <w:b/>
                <w:sz w:val="24"/>
                <w:szCs w:val="24"/>
              </w:rPr>
              <w:t>（牵头单位：区国有资产监督管理局）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区建管中心</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1.区建管中心已于2019年4月15日将规划方案报区自然资源局审批，审批通过后开展初步设计工作。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2.施工现场场地平整已完成60%，勘探工作完成28%，围挡已进行全封闭设立。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1270" w:type="dxa"/>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完善各市（区）湿地公园、森林公园的建设。</w:t>
            </w:r>
          </w:p>
        </w:tc>
        <w:tc>
          <w:tcPr>
            <w:tcW w:w="2206" w:type="dxa"/>
            <w:vAlign w:val="center"/>
          </w:tcPr>
          <w:p>
            <w:pPr>
              <w:spacing w:line="300" w:lineRule="exact"/>
              <w:rPr>
                <w:rFonts w:ascii="仿宋_GB2312" w:hAnsi="宋体" w:eastAsia="仿宋_GB2312" w:cs="Times New Roman"/>
                <w:sz w:val="24"/>
                <w:szCs w:val="24"/>
              </w:rPr>
            </w:pPr>
            <w:r>
              <w:rPr>
                <w:rFonts w:hint="eastAsia" w:ascii="仿宋_GB2312" w:hAnsi="宋体" w:eastAsia="仿宋_GB2312"/>
                <w:sz w:val="24"/>
                <w:szCs w:val="24"/>
              </w:rPr>
              <w:t>（1）蓬江区和江海区各建成一个区级湿地公园。</w:t>
            </w:r>
            <w:r>
              <w:rPr>
                <w:rFonts w:hint="eastAsia" w:ascii="仿宋_GB2312" w:hAnsi="宋体" w:eastAsia="仿宋_GB2312"/>
                <w:b/>
                <w:sz w:val="24"/>
                <w:szCs w:val="24"/>
              </w:rPr>
              <w:t>（牵头单位：区自然资源局）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600" w:firstLineChars="250"/>
              <w:rPr>
                <w:rFonts w:ascii="仿宋_GB2312" w:hAnsi="黑体" w:eastAsia="仿宋_GB2312" w:cs="Times New Roman"/>
                <w:sz w:val="24"/>
                <w:szCs w:val="24"/>
              </w:rPr>
            </w:pPr>
            <w:r>
              <w:rPr>
                <w:rFonts w:hint="eastAsia" w:ascii="仿宋_GB2312" w:hAnsi="黑体" w:eastAsia="仿宋_GB2312" w:cs="Times New Roman"/>
                <w:sz w:val="24"/>
                <w:szCs w:val="24"/>
              </w:rPr>
              <w:t>截至3月底，已将《江门市蓬江区潮连小海河湿地公园总体规划（2016-2020）》（征求意见稿）发送至潮连街征求意见，待《江门人才岛全岛水系规划》印发后，结合该规划方案，对《江门市蓬江区潮连小海河湿地公园总体规划（2016-2020）》进行修改完善，并按照规划实施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推进生态宜居美丽乡村示范创建。</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区农业农村和水利局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区文化广电旅游体育局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区发展和改革局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区科工商务局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区环卫局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区文明办</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200"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1.制定特色精品村及美丽宜居村的验收标准，即“八个最优”和“五个一”，并确定具体创建名单，明确各具体任务、时间节点及指导单位。</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2.4个区级示范村，已基本完成美丽乡村品质提升规划（初稿），并计划按规定对工程开展承发包。</w:t>
            </w:r>
          </w:p>
          <w:p>
            <w:pPr>
              <w:spacing w:line="300" w:lineRule="exact"/>
              <w:ind w:firstLine="480" w:firstLineChars="200"/>
              <w:rPr>
                <w:rFonts w:ascii="仿宋_GB2312" w:hAnsi="仿宋_GB2312" w:eastAsia="仿宋_GB2312" w:cs="仿宋_GB2312"/>
                <w:sz w:val="24"/>
                <w:szCs w:val="24"/>
              </w:rPr>
            </w:pPr>
            <w:r>
              <w:rPr>
                <w:rFonts w:hint="eastAsia" w:ascii="仿宋_GB2312" w:hAnsi="黑体" w:eastAsia="仿宋_GB2312" w:cs="Times New Roman"/>
                <w:sz w:val="24"/>
                <w:szCs w:val="24"/>
              </w:rPr>
              <w:t>3.已形成挂点结对工作机制，建立起区四套领导班子成员一人抓一个示范点、区直部门结对一个村（居）、各镇街领导班子、驻村工作组挂点辖区村（居）的工作挂点机制</w:t>
            </w:r>
            <w:r>
              <w:rPr>
                <w:rFonts w:hint="eastAsia" w:ascii="仿宋_GB2312" w:hAnsi="仿宋_GB2312" w:eastAsia="仿宋_GB2312" w:cs="仿宋_GB2312"/>
                <w:sz w:val="24"/>
                <w:szCs w:val="24"/>
              </w:rPr>
              <w:t>。</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4.已完成 12座村改居公厕建设工作。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496" w:type="dxa"/>
            <w:vMerge w:val="restart"/>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restart"/>
            <w:vAlign w:val="center"/>
          </w:tcPr>
          <w:p>
            <w:pPr>
              <w:spacing w:line="300" w:lineRule="exact"/>
              <w:rPr>
                <w:rFonts w:ascii="仿宋_GB2312" w:hAnsi="宋体" w:eastAsia="仿宋_GB2312"/>
                <w:b/>
                <w:sz w:val="24"/>
                <w:szCs w:val="24"/>
              </w:rPr>
            </w:pPr>
            <w:r>
              <w:rPr>
                <w:rFonts w:hint="eastAsia" w:ascii="仿宋_GB2312" w:hAnsi="宋体" w:eastAsia="仿宋_GB2312" w:cs="Times New Roman"/>
                <w:sz w:val="24"/>
                <w:szCs w:val="24"/>
              </w:rPr>
              <w:t>完善城市快速路网、步行和自行车等系统建设，打通断头路、瓶颈路。</w:t>
            </w:r>
            <w:r>
              <w:rPr>
                <w:rFonts w:hint="eastAsia" w:ascii="仿宋_GB2312" w:hAnsi="宋体" w:eastAsia="仿宋_GB2312"/>
                <w:b/>
                <w:sz w:val="24"/>
                <w:szCs w:val="24"/>
              </w:rPr>
              <w:t>（牵头单位：区住房城乡建设局）</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区建管中心</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慢行系统建设已纳入各道路工程项目中同步建设或改造，各项目正按照计划推进，现正开展东华路、胜利路、城心轴线、迎宾路（胜利北路-建设路）工程的相关建设内容；已完成步行道2公里，面积约10800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496" w:type="dxa"/>
            <w:vMerge w:val="continue"/>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continue"/>
            <w:vAlign w:val="center"/>
          </w:tcPr>
          <w:p>
            <w:pPr>
              <w:spacing w:line="300" w:lineRule="exact"/>
              <w:rPr>
                <w:rFonts w:ascii="仿宋_GB2312" w:hAnsi="宋体" w:eastAsia="仿宋_GB2312" w:cs="Times New Roman"/>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区建管中心</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已完成方案设计，正办理规划报批。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市区新增机动车公共停车泊位2500个。</w:t>
            </w:r>
            <w:r>
              <w:rPr>
                <w:rFonts w:hint="eastAsia" w:ascii="仿宋_GB2312" w:hAnsi="宋体" w:eastAsia="仿宋_GB2312"/>
                <w:b/>
                <w:sz w:val="24"/>
                <w:szCs w:val="24"/>
              </w:rPr>
              <w:t>（牵头单位：区城市管理和综合执法局）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环市街</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潮连街</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白沙街</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目前已完成200个停车位建设。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6"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1270" w:type="dxa"/>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加快三个片区的建设。</w:t>
            </w:r>
          </w:p>
        </w:tc>
        <w:tc>
          <w:tcPr>
            <w:tcW w:w="2206" w:type="dxa"/>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（1）蓬江城市中央活动区。</w:t>
            </w:r>
            <w:r>
              <w:rPr>
                <w:rFonts w:hint="eastAsia" w:ascii="仿宋_GB2312" w:hAnsi="宋体" w:eastAsia="仿宋_GB2312"/>
                <w:b/>
                <w:sz w:val="24"/>
                <w:szCs w:val="24"/>
              </w:rPr>
              <w:t>（牵头单位：区住房城乡建设局）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区建管中心</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环市街</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1.院士路、迎宾大道的道路亮化提升项目已完成前期筹备工作；已于春节前投入390万元完成万达广场前花卉绿化景观项目。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2.区城心轴线道路品质提升工程已完成施工图，正按计划施工；已完成发展大道北侧、华侨广场、广场环路（内环）人行道、非机动车道及绿化改造。正在进行广场环路（外环）人行道、非机动车道及绿化改造。</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3.院士路萃锦园花圃改造项目已立项，目前在环市街财政审核预算阶段。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5"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推进市区环卫作业一体化。</w:t>
            </w:r>
            <w:r>
              <w:rPr>
                <w:rFonts w:hint="eastAsia" w:ascii="仿宋_GB2312" w:hAnsi="宋体" w:eastAsia="仿宋_GB2312"/>
                <w:b/>
                <w:sz w:val="24"/>
                <w:szCs w:val="24"/>
              </w:rPr>
              <w:t>（牵头单位：区环卫局）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区环卫局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区委组织部</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区发展和改革局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区人力资源社会保障局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区农业农村和水利局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环市街</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白沙街</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《关于启动蓬江区环卫一体化和市场化工作的请示》已通过区书记会审议。已启动资产评估工作，正在编制项目实施方案、可行性研究报告以及造价清单。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5"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市区现有的6条黑臭水体全面消除黑臭现象，新发现的黑臭水体全面进入整治阶段。</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区农业农村和水利局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区发展和改革局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1.按市的统一要求开展天沙河、杜阮河两条黑臭水体“1+4”工作方案进行修改完善。</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2.已完成两条黑臭水体“6个一”制度建设。</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3.已制定河长制（湖长制）七项工作制度。</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4.已建立河道常态化保洁工作制度，清理河道漂浮物87吨。</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5.已建立“第三方”河道巡查整改机制，累计巡查次数305次。</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6.推行全流域河道水质监测，建立每月排名通报制度。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96" w:type="dxa"/>
            <w:vMerge w:val="restart"/>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restart"/>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加快城镇污水处理厂和配套管网建设。</w:t>
            </w:r>
            <w:r>
              <w:rPr>
                <w:rFonts w:hint="eastAsia" w:ascii="仿宋_GB2312" w:hAnsi="宋体" w:eastAsia="仿宋_GB2312"/>
                <w:b/>
                <w:sz w:val="24"/>
                <w:szCs w:val="24"/>
              </w:rPr>
              <w:t>（牵头单位：区城市管理和综合执法局）</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Merge w:val="restart"/>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区发展和改革局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区农业农村和水利局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200" w:type="dxa"/>
            <w:vMerge w:val="restart"/>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已完成管网摸底排查工作，部分管网工程正在进行前期准备工作。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496" w:type="dxa"/>
            <w:vMerge w:val="continue"/>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continue"/>
            <w:vAlign w:val="center"/>
          </w:tcPr>
          <w:p>
            <w:pPr>
              <w:spacing w:line="300" w:lineRule="exact"/>
              <w:rPr>
                <w:rFonts w:ascii="仿宋_GB2312" w:hAnsi="宋体" w:eastAsia="仿宋_GB2312" w:cs="Times New Roman"/>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ind w:left="-107" w:leftChars="-51" w:right="-82" w:rightChars="-39"/>
              <w:jc w:val="center"/>
              <w:rPr>
                <w:rFonts w:ascii="仿宋_GB2312" w:hAnsi="黑体" w:eastAsia="仿宋_GB2312" w:cs="Times New Roman"/>
                <w:sz w:val="24"/>
                <w:szCs w:val="24"/>
              </w:rPr>
            </w:pPr>
          </w:p>
        </w:tc>
        <w:tc>
          <w:tcPr>
            <w:tcW w:w="7200"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496" w:type="dxa"/>
            <w:vMerge w:val="continue"/>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continue"/>
            <w:vAlign w:val="center"/>
          </w:tcPr>
          <w:p>
            <w:pPr>
              <w:spacing w:line="300" w:lineRule="exact"/>
              <w:rPr>
                <w:rFonts w:ascii="仿宋_GB2312" w:hAnsi="宋体" w:eastAsia="仿宋_GB2312" w:cs="Times New Roman"/>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ind w:left="-107" w:leftChars="-51" w:right="-82" w:rightChars="-39"/>
              <w:jc w:val="center"/>
              <w:rPr>
                <w:rFonts w:ascii="仿宋_GB2312" w:hAnsi="黑体" w:eastAsia="仿宋_GB2312" w:cs="Times New Roman"/>
                <w:sz w:val="24"/>
                <w:szCs w:val="24"/>
              </w:rPr>
            </w:pPr>
          </w:p>
        </w:tc>
        <w:tc>
          <w:tcPr>
            <w:tcW w:w="7200"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ind w:left="-107" w:leftChars="-51" w:right="-82" w:rightChars="-39"/>
              <w:jc w:val="left"/>
              <w:rPr>
                <w:rFonts w:ascii="仿宋_GB2312" w:hAnsi="黑体" w:eastAsia="仿宋_GB2312" w:cs="Times New Roman"/>
                <w:sz w:val="24"/>
                <w:szCs w:val="24"/>
              </w:rPr>
            </w:pPr>
            <w:r>
              <w:rPr>
                <w:rFonts w:hint="eastAsia" w:ascii="仿宋_GB2312" w:hAnsi="宋体" w:eastAsia="仿宋_GB2312" w:cs="Times New Roman"/>
                <w:sz w:val="24"/>
                <w:szCs w:val="24"/>
              </w:rPr>
              <w:t>扩大农村污水处理设施覆盖面，启动潭江重点支流沿线重点村庄生活污水整治。</w:t>
            </w:r>
            <w:r>
              <w:rPr>
                <w:rFonts w:hint="eastAsia" w:ascii="仿宋_GB2312" w:hAnsi="宋体" w:eastAsia="仿宋_GB2312"/>
                <w:b/>
                <w:sz w:val="24"/>
                <w:szCs w:val="24"/>
              </w:rPr>
              <w:t>（牵头单位：</w:t>
            </w:r>
            <w:r>
              <w:rPr>
                <w:rFonts w:hint="eastAsia" w:ascii="仿宋_GB2312" w:hAnsi="黑体" w:eastAsia="仿宋_GB2312" w:cs="Times New Roman"/>
                <w:b/>
                <w:sz w:val="24"/>
                <w:szCs w:val="24"/>
              </w:rPr>
              <w:t>区城市管理和综合执法局</w:t>
            </w:r>
            <w:r>
              <w:rPr>
                <w:rFonts w:hint="eastAsia" w:ascii="仿宋_GB2312" w:hAnsi="宋体" w:eastAsia="仿宋_GB2312"/>
                <w:b/>
                <w:sz w:val="24"/>
                <w:szCs w:val="24"/>
              </w:rPr>
              <w:t>）</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黑体" w:eastAsia="仿宋_GB2312" w:cs="Times New Roman"/>
                <w:sz w:val="24"/>
                <w:szCs w:val="24"/>
              </w:rPr>
              <w:t>关志钒</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区农业林业和水利局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200"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农村分散式污水处理设施建设已纳入了蓬江区南、北片区黑臭水体及水利工程项目，根据2019年蓬江区城市品质提升计划，该项目将于6月开工。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496" w:type="dxa"/>
            <w:vMerge w:val="restart"/>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restart"/>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蓬江区争创（“四好农村路”）省级示范县。</w:t>
            </w:r>
            <w:r>
              <w:rPr>
                <w:rFonts w:hint="eastAsia" w:ascii="仿宋_GB2312" w:hAnsi="宋体" w:eastAsia="仿宋_GB2312"/>
                <w:b/>
                <w:sz w:val="24"/>
                <w:szCs w:val="24"/>
              </w:rPr>
              <w:t>（牵头单位：区住房城乡建设局）</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Merge w:val="restart"/>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区科工商务局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区农业农村和水利局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区司法局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棠下镇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荷塘镇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杜阮镇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潮连街</w:t>
            </w:r>
          </w:p>
        </w:tc>
        <w:tc>
          <w:tcPr>
            <w:tcW w:w="7200" w:type="dxa"/>
            <w:vMerge w:val="restart"/>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1.示范路乐公线、棠良线、杜叱线已建成，成为当地一道美丽的风景线。</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2.各镇、街的道路绿化项目及村道道路维修项目已完工。</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3.辖区内所有自然村均已通达公路。</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4.东堤路正在进行水泥主线混凝土路面板860米半幅施工，旧路修补1200平方米，绿化工程及交通安全设施施工工作。</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5.棠下镇、杜阮镇的路面硬底化项目及荷塘镇的三坊桥正在大力建设推进中。</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 3月底，已向市交通运输局报送了《关于上报蓬江区创建“四好农村路”示范县申报材料的报告》及《广东省创建“四好农村路”示范县申报表》。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jc w:val="center"/>
        </w:trPr>
        <w:tc>
          <w:tcPr>
            <w:tcW w:w="496" w:type="dxa"/>
            <w:vMerge w:val="continue"/>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Merge w:val="continue"/>
            <w:vAlign w:val="center"/>
          </w:tcPr>
          <w:p>
            <w:pPr>
              <w:spacing w:line="300" w:lineRule="exact"/>
              <w:rPr>
                <w:rFonts w:ascii="仿宋_GB2312" w:hAnsi="宋体" w:eastAsia="仿宋_GB2312" w:cs="Times New Roman"/>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ind w:left="-107" w:leftChars="-51" w:right="-82" w:rightChars="-39"/>
              <w:jc w:val="center"/>
              <w:rPr>
                <w:rFonts w:ascii="仿宋_GB2312" w:hAnsi="黑体" w:eastAsia="仿宋_GB2312" w:cs="Times New Roman"/>
                <w:sz w:val="24"/>
                <w:szCs w:val="24"/>
              </w:rPr>
            </w:pPr>
          </w:p>
        </w:tc>
        <w:tc>
          <w:tcPr>
            <w:tcW w:w="7200"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3"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进一步理顺江门产业转移园管理机制，推进蓬江、江海、开平、鹤山、恩平产业园申请扩大区域。</w:t>
            </w:r>
            <w:r>
              <w:rPr>
                <w:rFonts w:hint="eastAsia" w:ascii="仿宋_GB2312" w:hAnsi="宋体" w:eastAsia="仿宋_GB2312"/>
                <w:b/>
                <w:sz w:val="24"/>
                <w:szCs w:val="24"/>
              </w:rPr>
              <w:t>（牵头单位：滨江新区管委会局）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刘少龙</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滨江新区管委会</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区科工商务局</w:t>
            </w:r>
          </w:p>
        </w:tc>
        <w:tc>
          <w:tcPr>
            <w:tcW w:w="7200" w:type="dxa"/>
            <w:vAlign w:val="center"/>
          </w:tcPr>
          <w:p>
            <w:pPr>
              <w:spacing w:line="300" w:lineRule="exact"/>
              <w:ind w:left="-107" w:leftChars="-51" w:right="-82" w:rightChars="-39" w:firstLine="599" w:firstLineChars="249"/>
              <w:jc w:val="left"/>
              <w:rPr>
                <w:rFonts w:ascii="仿宋_GB2312" w:hAnsi="宋体" w:eastAsia="仿宋_GB2312" w:cs="Times New Roman"/>
                <w:b/>
                <w:sz w:val="24"/>
                <w:szCs w:val="24"/>
              </w:rPr>
            </w:pPr>
            <w:r>
              <w:rPr>
                <w:rFonts w:hint="eastAsia" w:ascii="仿宋_GB2312" w:hAnsi="宋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拟定江门蓬江产业转移工业园开发建设工作领导小组和江门蓬江产业转移工业园扩园提质增效工作方案，进一步明确园区开发建设职责分工，落实工作责任，保障园区开发建设工作落到实处，加快推进园区扩园提质取得成效。</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2.一季度成功完成蓬江区依托江门蓬江产业转移工业园申请产业集聚地申报工作，将金镜山、骑龙山工业园纳入园区范围纳入园区管理。</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启动产业发展规划和国土空间规划编制工作，拟计划向西扩园征地；按计划推进园区金桐八路等基础道路建设和桐乐路等道路升级改造；已启动华盛路西延线和迎宾西路建设筹备工作，加快产城融合建设；积极探索园区建设融资新模式“EPC+O”、城镇化建设等模式；积极开展园区公共配套工程建设；正开展安商暖企，协调促进兰芳园等重点企业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3" w:hRule="atLeast"/>
          <w:jc w:val="center"/>
        </w:trPr>
        <w:tc>
          <w:tcPr>
            <w:tcW w:w="496" w:type="dxa"/>
            <w:vAlign w:val="center"/>
          </w:tcPr>
          <w:p>
            <w:pPr>
              <w:numPr>
                <w:ilvl w:val="0"/>
                <w:numId w:val="1"/>
              </w:numPr>
              <w:spacing w:line="300" w:lineRule="exact"/>
              <w:rPr>
                <w:rFonts w:ascii="仿宋_GB2312" w:hAnsi="黑体" w:eastAsia="仿宋_GB2312" w:cs="仿宋_GB2312"/>
                <w:sz w:val="24"/>
                <w:szCs w:val="24"/>
              </w:rPr>
            </w:pPr>
          </w:p>
        </w:tc>
        <w:tc>
          <w:tcPr>
            <w:tcW w:w="3476" w:type="dxa"/>
            <w:gridSpan w:val="2"/>
            <w:vAlign w:val="center"/>
          </w:tcPr>
          <w:p>
            <w:pPr>
              <w:spacing w:line="300" w:lineRule="exact"/>
              <w:rPr>
                <w:rFonts w:ascii="仿宋_GB2312" w:hAnsi="宋体" w:eastAsia="仿宋_GB2312" w:cs="Times New Roman"/>
                <w:sz w:val="24"/>
                <w:szCs w:val="24"/>
              </w:rPr>
            </w:pPr>
            <w:r>
              <w:rPr>
                <w:rFonts w:hint="eastAsia" w:ascii="仿宋_GB2312" w:hAnsi="宋体" w:eastAsia="仿宋_GB2312" w:cs="Times New Roman"/>
                <w:sz w:val="24"/>
                <w:szCs w:val="24"/>
              </w:rPr>
              <w:t>深入推进“招商引资突破年”工作，争取各市（区）年内均引进投资额20亿元以上的项目并动工建设，力争引进超50亿元、超百亿元的特大项目。</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区科工商务局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200" w:type="dxa"/>
            <w:vAlign w:val="center"/>
          </w:tcPr>
          <w:p>
            <w:pPr>
              <w:spacing w:line="300" w:lineRule="exact"/>
              <w:ind w:left="-107" w:leftChars="-51" w:right="-82" w:rightChars="-39" w:firstLine="599" w:firstLineChars="249"/>
              <w:jc w:val="left"/>
              <w:rPr>
                <w:rFonts w:ascii="仿宋_GB2312" w:hAnsi="宋体" w:eastAsia="仿宋_GB2312" w:cs="Times New Roman"/>
                <w:b/>
                <w:sz w:val="24"/>
                <w:szCs w:val="24"/>
              </w:rPr>
            </w:pPr>
            <w:r>
              <w:rPr>
                <w:rFonts w:hint="eastAsia" w:ascii="仿宋_GB2312" w:hAnsi="宋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宋体" w:eastAsia="仿宋_GB2312" w:cs="Times New Roman"/>
                <w:sz w:val="24"/>
                <w:szCs w:val="24"/>
              </w:rPr>
              <w:t>中国· 侨镇项目于2月拍得8</w:t>
            </w:r>
            <w:r>
              <w:rPr>
                <w:rFonts w:ascii="仿宋_GB2312" w:hAnsi="宋体" w:eastAsia="仿宋_GB2312" w:cs="Times New Roman"/>
                <w:sz w:val="24"/>
                <w:szCs w:val="24"/>
              </w:rPr>
              <w:t>0</w:t>
            </w:r>
            <w:r>
              <w:rPr>
                <w:rFonts w:hint="eastAsia" w:ascii="仿宋_GB2312" w:hAnsi="宋体" w:eastAsia="仿宋_GB2312" w:cs="Times New Roman"/>
                <w:sz w:val="24"/>
                <w:szCs w:val="24"/>
              </w:rPr>
              <w:t>亩项目用地，于3月底在江港（澳）大湾区对接会上签订合作框架协议书，拟投资5</w:t>
            </w:r>
            <w:r>
              <w:rPr>
                <w:rFonts w:ascii="仿宋_GB2312" w:hAnsi="宋体" w:eastAsia="仿宋_GB2312" w:cs="Times New Roman"/>
                <w:sz w:val="24"/>
                <w:szCs w:val="24"/>
              </w:rPr>
              <w:t>0</w:t>
            </w:r>
            <w:r>
              <w:rPr>
                <w:rFonts w:hint="eastAsia" w:ascii="仿宋_GB2312" w:hAnsi="宋体" w:eastAsia="仿宋_GB2312" w:cs="Times New Roman"/>
                <w:sz w:val="24"/>
                <w:szCs w:val="24"/>
              </w:rPr>
              <w:t>亿元人民币。</w:t>
            </w:r>
          </w:p>
        </w:tc>
      </w:tr>
    </w:tbl>
    <w:p>
      <w:pPr>
        <w:spacing w:line="380" w:lineRule="exact"/>
        <w:ind w:left="-325" w:leftChars="-155" w:firstLine="320" w:firstLineChars="100"/>
        <w:outlineLvl w:val="0"/>
        <w:rPr>
          <w:rFonts w:ascii="黑体" w:hAnsi="黑体" w:eastAsia="黑体" w:cs="Times New Roman"/>
          <w:sz w:val="32"/>
          <w:szCs w:val="32"/>
        </w:rPr>
      </w:pPr>
      <w:r>
        <w:rPr>
          <w:rFonts w:hint="eastAsia" w:ascii="黑体" w:hAnsi="黑体" w:eastAsia="黑体" w:cs="黑体"/>
          <w:sz w:val="32"/>
          <w:szCs w:val="32"/>
        </w:rPr>
        <w:t>二、区委、区政府重点工作（共114项）</w:t>
      </w:r>
    </w:p>
    <w:tbl>
      <w:tblPr>
        <w:tblStyle w:val="18"/>
        <w:tblW w:w="15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056"/>
        <w:gridCol w:w="91"/>
        <w:gridCol w:w="2268"/>
        <w:gridCol w:w="1134"/>
        <w:gridCol w:w="3119"/>
        <w:gridCol w:w="7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43" w:type="dxa"/>
            <w:vAlign w:val="center"/>
          </w:tcPr>
          <w:p>
            <w:pPr>
              <w:spacing w:line="300" w:lineRule="exact"/>
              <w:jc w:val="center"/>
              <w:rPr>
                <w:rFonts w:ascii="黑体" w:hAnsi="黑体" w:eastAsia="黑体" w:cs="Times New Roman"/>
                <w:sz w:val="28"/>
                <w:szCs w:val="28"/>
              </w:rPr>
            </w:pPr>
            <w:r>
              <w:rPr>
                <w:rFonts w:hint="eastAsia" w:ascii="黑体" w:hAnsi="黑体" w:eastAsia="黑体" w:cs="黑体"/>
                <w:sz w:val="28"/>
                <w:szCs w:val="28"/>
              </w:rPr>
              <w:t>序号</w:t>
            </w:r>
          </w:p>
        </w:tc>
        <w:tc>
          <w:tcPr>
            <w:tcW w:w="3415" w:type="dxa"/>
            <w:gridSpan w:val="3"/>
            <w:vAlign w:val="center"/>
          </w:tcPr>
          <w:p>
            <w:pPr>
              <w:spacing w:line="300" w:lineRule="exact"/>
              <w:jc w:val="center"/>
              <w:rPr>
                <w:rFonts w:ascii="黑体" w:hAnsi="黑体" w:eastAsia="黑体" w:cs="Times New Roman"/>
                <w:sz w:val="28"/>
                <w:szCs w:val="28"/>
              </w:rPr>
            </w:pPr>
            <w:r>
              <w:rPr>
                <w:rFonts w:hint="eastAsia" w:ascii="黑体" w:hAnsi="黑体" w:eastAsia="黑体" w:cs="黑体"/>
                <w:sz w:val="28"/>
                <w:szCs w:val="28"/>
              </w:rPr>
              <w:t>工作内容</w:t>
            </w:r>
          </w:p>
        </w:tc>
        <w:tc>
          <w:tcPr>
            <w:tcW w:w="1134" w:type="dxa"/>
            <w:vAlign w:val="center"/>
          </w:tcPr>
          <w:p>
            <w:pPr>
              <w:spacing w:line="300" w:lineRule="exact"/>
              <w:jc w:val="center"/>
              <w:rPr>
                <w:rFonts w:ascii="黑体" w:hAnsi="黑体" w:eastAsia="黑体" w:cs="Times New Roman"/>
                <w:sz w:val="28"/>
                <w:szCs w:val="28"/>
              </w:rPr>
            </w:pPr>
            <w:r>
              <w:rPr>
                <w:rFonts w:hint="eastAsia" w:ascii="黑体" w:hAnsi="黑体" w:eastAsia="黑体" w:cs="Times New Roman"/>
                <w:sz w:val="28"/>
                <w:szCs w:val="28"/>
              </w:rPr>
              <w:t>责任</w:t>
            </w:r>
          </w:p>
          <w:p>
            <w:pPr>
              <w:spacing w:line="300" w:lineRule="exact"/>
              <w:jc w:val="center"/>
              <w:rPr>
                <w:rFonts w:ascii="黑体" w:hAnsi="黑体" w:eastAsia="黑体" w:cs="Times New Roman"/>
                <w:sz w:val="28"/>
                <w:szCs w:val="28"/>
              </w:rPr>
            </w:pPr>
            <w:r>
              <w:rPr>
                <w:rFonts w:hint="eastAsia" w:ascii="黑体" w:hAnsi="黑体" w:eastAsia="黑体" w:cs="Times New Roman"/>
                <w:sz w:val="28"/>
                <w:szCs w:val="28"/>
              </w:rPr>
              <w:t>领导</w:t>
            </w:r>
          </w:p>
        </w:tc>
        <w:tc>
          <w:tcPr>
            <w:tcW w:w="3119" w:type="dxa"/>
            <w:vAlign w:val="center"/>
          </w:tcPr>
          <w:p>
            <w:pPr>
              <w:spacing w:line="300" w:lineRule="exact"/>
              <w:jc w:val="center"/>
              <w:rPr>
                <w:rFonts w:ascii="黑体" w:hAnsi="黑体" w:eastAsia="黑体" w:cs="Times New Roman"/>
                <w:sz w:val="28"/>
                <w:szCs w:val="28"/>
              </w:rPr>
            </w:pPr>
            <w:r>
              <w:rPr>
                <w:rFonts w:hint="eastAsia" w:ascii="黑体" w:hAnsi="黑体" w:eastAsia="黑体" w:cs="黑体"/>
                <w:sz w:val="28"/>
                <w:szCs w:val="28"/>
              </w:rPr>
              <w:t>责任单位</w:t>
            </w:r>
          </w:p>
        </w:tc>
        <w:tc>
          <w:tcPr>
            <w:tcW w:w="7187" w:type="dxa"/>
            <w:vAlign w:val="center"/>
          </w:tcPr>
          <w:p>
            <w:pPr>
              <w:spacing w:line="300" w:lineRule="exact"/>
              <w:ind w:left="-107" w:leftChars="-51" w:right="-82" w:rightChars="-39"/>
              <w:jc w:val="center"/>
              <w:rPr>
                <w:rFonts w:ascii="黑体" w:hAnsi="黑体" w:eastAsia="黑体" w:cs="Times New Roman"/>
                <w:sz w:val="28"/>
                <w:szCs w:val="28"/>
              </w:rPr>
            </w:pPr>
            <w:r>
              <w:rPr>
                <w:rFonts w:hint="eastAsia" w:ascii="黑体" w:hAnsi="黑体" w:eastAsia="黑体" w:cs="黑体"/>
                <w:sz w:val="28"/>
                <w:szCs w:val="28"/>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力争实现工业投资85亿元，力促落地一批、动工一批、投产一批、达产一批工业项目。</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left="-107" w:leftChars="-51" w:right="-6" w:rightChars="-3" w:firstLine="599" w:firstLineChars="249"/>
              <w:rPr>
                <w:rFonts w:ascii="仿宋_GB2312" w:hAnsi="黑体" w:eastAsia="仿宋_GB2312" w:cs="Times New Roman"/>
                <w:b/>
                <w:sz w:val="24"/>
                <w:szCs w:val="24"/>
              </w:rPr>
            </w:pPr>
            <w:r>
              <w:rPr>
                <w:rFonts w:hint="eastAsia" w:ascii="仿宋_GB2312" w:hAnsi="黑体" w:eastAsia="仿宋_GB2312" w:cs="Times New Roman"/>
                <w:b/>
                <w:sz w:val="24"/>
                <w:szCs w:val="24"/>
              </w:rPr>
              <w:t>基本按时间进度完成。</w:t>
            </w:r>
          </w:p>
          <w:p>
            <w:pPr>
              <w:spacing w:line="300" w:lineRule="exact"/>
              <w:ind w:right="-6" w:rightChars="-3" w:firstLine="491" w:firstLineChars="205"/>
              <w:rPr>
                <w:rFonts w:ascii="仿宋_GB2312" w:hAnsi="黑体" w:eastAsia="仿宋_GB2312" w:cs="Times New Roman"/>
                <w:sz w:val="24"/>
                <w:szCs w:val="24"/>
              </w:rPr>
            </w:pPr>
            <w:r>
              <w:rPr>
                <w:rFonts w:hint="eastAsia" w:ascii="仿宋_GB2312" w:hAnsi="黑体" w:eastAsia="仿宋_GB2312" w:cs="Times New Roman"/>
                <w:sz w:val="24"/>
                <w:szCs w:val="24"/>
              </w:rPr>
              <w:t>截至3月底，全区完成工业投资6.03亿元，同比下降25.67%。一季度松铃摩托、诺贝电机一汇食品等项目动工，兰芳园项目已试产运营。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提高项目落地率，特别是抓好中德人工智能产业园、中国</w:t>
            </w:r>
            <w:r>
              <w:rPr>
                <w:rFonts w:hint="eastAsia" w:ascii="宋体" w:hAnsi="宋体" w:cs="宋体"/>
                <w:sz w:val="24"/>
                <w:szCs w:val="24"/>
              </w:rPr>
              <w:t>•</w:t>
            </w:r>
            <w:r>
              <w:rPr>
                <w:rFonts w:hint="eastAsia" w:ascii="仿宋_GB2312" w:hAnsi="仿宋_GB2312" w:eastAsia="仿宋_GB2312" w:cs="仿宋_GB2312"/>
                <w:sz w:val="24"/>
                <w:szCs w:val="24"/>
              </w:rPr>
              <w:t>侨镇</w:t>
            </w:r>
            <w:r>
              <w:rPr>
                <w:rFonts w:hint="eastAsia" w:ascii="仿宋_GB2312" w:hAnsi="宋体" w:eastAsia="仿宋_GB2312"/>
                <w:sz w:val="24"/>
                <w:szCs w:val="24"/>
              </w:rPr>
              <w:t>等项目的落地。</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杜阮镇</w:t>
            </w:r>
          </w:p>
        </w:tc>
        <w:tc>
          <w:tcPr>
            <w:tcW w:w="7187" w:type="dxa"/>
            <w:vAlign w:val="center"/>
          </w:tcPr>
          <w:p>
            <w:pPr>
              <w:spacing w:line="300" w:lineRule="exact"/>
              <w:ind w:left="-107" w:leftChars="-51" w:right="-6" w:rightChars="-3" w:firstLine="599" w:firstLineChars="249"/>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right="-6" w:rightChars="-3" w:firstLine="491" w:firstLineChars="205"/>
              <w:rPr>
                <w:rFonts w:ascii="仿宋_GB2312" w:hAnsi="黑体" w:eastAsia="仿宋_GB2312" w:cs="Times New Roman"/>
                <w:sz w:val="24"/>
                <w:szCs w:val="24"/>
              </w:rPr>
            </w:pPr>
            <w:r>
              <w:rPr>
                <w:rFonts w:hint="eastAsia" w:ascii="仿宋_GB2312" w:hAnsi="黑体" w:eastAsia="仿宋_GB2312" w:cs="Times New Roman"/>
                <w:sz w:val="24"/>
                <w:szCs w:val="24"/>
              </w:rPr>
              <w:t>1.已分别与中德人工智能产业园、中国</w:t>
            </w:r>
            <w:r>
              <w:rPr>
                <w:rFonts w:hint="eastAsia" w:ascii="宋体" w:hAnsi="宋体" w:cs="宋体"/>
                <w:sz w:val="24"/>
                <w:szCs w:val="24"/>
              </w:rPr>
              <w:t>•</w:t>
            </w:r>
            <w:r>
              <w:rPr>
                <w:rFonts w:hint="eastAsia" w:ascii="仿宋_GB2312" w:hAnsi="仿宋_GB2312" w:eastAsia="仿宋_GB2312" w:cs="仿宋_GB2312"/>
                <w:sz w:val="24"/>
                <w:szCs w:val="24"/>
              </w:rPr>
              <w:t>侨镇签订投资框架协议。</w:t>
            </w:r>
          </w:p>
          <w:p>
            <w:pPr>
              <w:spacing w:line="300" w:lineRule="exact"/>
              <w:ind w:right="-6" w:rightChars="-3" w:firstLine="491" w:firstLineChars="205"/>
              <w:rPr>
                <w:rFonts w:ascii="仿宋_GB2312" w:hAnsi="黑体" w:eastAsia="仿宋_GB2312" w:cs="Times New Roman"/>
                <w:sz w:val="24"/>
                <w:szCs w:val="24"/>
              </w:rPr>
            </w:pPr>
            <w:r>
              <w:rPr>
                <w:rFonts w:hint="eastAsia" w:ascii="仿宋_GB2312" w:hAnsi="黑体" w:eastAsia="仿宋_GB2312" w:cs="Times New Roman"/>
                <w:sz w:val="24"/>
                <w:szCs w:val="24"/>
              </w:rPr>
              <w:t>2.中德人工智能产业园项目用地调规手续已经市控规专委会审定，下一步将呈市控规委员会审议；中国</w:t>
            </w:r>
            <w:r>
              <w:rPr>
                <w:rFonts w:hint="eastAsia" w:ascii="宋体" w:hAnsi="宋体" w:cs="宋体"/>
                <w:sz w:val="24"/>
                <w:szCs w:val="24"/>
              </w:rPr>
              <w:t>•</w:t>
            </w:r>
            <w:r>
              <w:rPr>
                <w:rFonts w:hint="eastAsia" w:ascii="仿宋_GB2312" w:hAnsi="仿宋_GB2312" w:eastAsia="仿宋_GB2312" w:cs="仿宋_GB2312"/>
                <w:sz w:val="24"/>
                <w:szCs w:val="24"/>
              </w:rPr>
              <w:t>侨镇项目已于</w:t>
            </w:r>
            <w:r>
              <w:rPr>
                <w:rFonts w:hint="eastAsia" w:ascii="仿宋_GB2312" w:hAnsi="黑体" w:eastAsia="仿宋_GB2312" w:cs="Times New Roman"/>
                <w:sz w:val="24"/>
                <w:szCs w:val="24"/>
              </w:rPr>
              <w:t>2月拍得首期用地80亩。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力促项目动工，特别要督促近年已供地未动工的19个项目年内开工建设，力争全年新开工项目超30个。</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tc>
        <w:tc>
          <w:tcPr>
            <w:tcW w:w="7187" w:type="dxa"/>
            <w:vAlign w:val="center"/>
          </w:tcPr>
          <w:p>
            <w:pPr>
              <w:spacing w:line="300" w:lineRule="exact"/>
              <w:ind w:right="-6" w:rightChars="-3" w:firstLine="491" w:firstLineChars="204"/>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right="-6" w:rightChars="-3" w:firstLine="491" w:firstLineChars="205"/>
              <w:rPr>
                <w:rFonts w:ascii="仿宋_GB2312" w:hAnsi="黑体" w:eastAsia="仿宋_GB2312" w:cs="Times New Roman"/>
                <w:sz w:val="24"/>
                <w:szCs w:val="24"/>
              </w:rPr>
            </w:pPr>
            <w:r>
              <w:rPr>
                <w:rFonts w:hint="eastAsia" w:ascii="仿宋_GB2312" w:hAnsi="黑体" w:eastAsia="仿宋_GB2312" w:cs="Times New Roman"/>
                <w:sz w:val="24"/>
                <w:szCs w:val="24"/>
              </w:rPr>
              <w:t>1.集成液压装备制造项目、松铃摩托车配件项目、霞光照明增资扩产项目、白沙远扬茶叶市场项目、人才岛全岛水系治理项目等5个项目已开工建设；加滢化工二期增资扩产项目正办理报建手续。</w:t>
            </w:r>
          </w:p>
          <w:p>
            <w:pPr>
              <w:spacing w:line="300" w:lineRule="exact"/>
              <w:ind w:right="-6" w:rightChars="-3" w:firstLine="491" w:firstLineChars="205"/>
              <w:rPr>
                <w:rFonts w:ascii="仿宋_GB2312" w:hAnsi="黑体" w:eastAsia="仿宋_GB2312" w:cs="Times New Roman"/>
                <w:sz w:val="24"/>
                <w:szCs w:val="24"/>
              </w:rPr>
            </w:pPr>
            <w:r>
              <w:rPr>
                <w:rFonts w:hint="eastAsia" w:ascii="仿宋_GB2312" w:hAnsi="黑体" w:eastAsia="仿宋_GB2312" w:cs="Times New Roman"/>
                <w:sz w:val="24"/>
                <w:szCs w:val="24"/>
              </w:rPr>
              <w:t>2.安捷物流园项目正在筹建；大湾区智慧教育小镇项目正处于前期规划设计阶段；迪浪大数据产业园项目已完成规划设计；美心食品（二期）项目正进行申请规划审批前期工作；威恒达五金项目正在筹建；江门侨镇项目正进行规划调研工作；竞晖电器项目正进行规划设计；今科机床项目正进行申报施工前期工作；诺贝插件机器人项目正在筹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推动在建项目竣工投产，着力加快海目星、兰芳园食品等超5000万元的15个在建项目进度，力争年内投产。</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w:t>
            </w:r>
            <w:r>
              <w:rPr>
                <w:rFonts w:hint="eastAsia" w:ascii="仿宋_GB2312" w:hAnsi="黑体" w:eastAsia="仿宋_GB2312" w:cs="Times New Roman"/>
                <w:b/>
                <w:sz w:val="24"/>
                <w:szCs w:val="24"/>
              </w:rPr>
              <w:t>海目星项目</w:t>
            </w:r>
            <w:r>
              <w:rPr>
                <w:rFonts w:hint="eastAsia" w:ascii="仿宋_GB2312" w:hAnsi="黑体" w:eastAsia="仿宋_GB2312" w:cs="Times New Roman"/>
                <w:sz w:val="24"/>
                <w:szCs w:val="24"/>
              </w:rPr>
              <w:t>一期1、2号生产厂房进行室内安装工程，1号生活配套楼正进行主体框架施工，2号生活配套楼已封顶，正进行室内施工，计划于4月安装调试生产线设备，于5月正式投产；</w:t>
            </w:r>
            <w:r>
              <w:rPr>
                <w:rFonts w:hint="eastAsia" w:ascii="仿宋_GB2312" w:hAnsi="黑体" w:eastAsia="仿宋_GB2312" w:cs="Times New Roman"/>
                <w:b/>
                <w:sz w:val="24"/>
                <w:szCs w:val="24"/>
              </w:rPr>
              <w:t>兰芳园项目</w:t>
            </w:r>
            <w:r>
              <w:rPr>
                <w:rFonts w:hint="eastAsia" w:ascii="仿宋_GB2312" w:hAnsi="黑体" w:eastAsia="仿宋_GB2312" w:cs="Times New Roman"/>
                <w:sz w:val="24"/>
                <w:szCs w:val="24"/>
              </w:rPr>
              <w:t>项目正试产运营。</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华电分布式能源热电冷联产项目和顶益方便面（顶益食品一期）项目已试产运营；现正全力推进激光产业园、科业电器、利华实业、美心集团综合智能制造中心（原美心食品项目）、天地壹号南园区项目(百草壹号及研发中心）、蒙德电气自动化设备制造、卓盛纸业、天壹食品、地尔汉宇骑龙山、骏东木业、鸿美达挤出机及注塑机自动化技术改造等项目建设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推动顶益、华电新能源等项目尽快达到预期产出。</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截至3月底，顶益项目实现产值3.81亿元，华电新能源实现产值0.72亿元。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支持引导企业开展技术改造和增资扩产，力争技改投资增长超12%，落实技改奖补政策，推动海信空调等企业开展“机器人应用”改造。</w:t>
            </w:r>
            <w:r>
              <w:rPr>
                <w:rFonts w:hint="eastAsia" w:ascii="仿宋_GB2312" w:hAnsi="宋体" w:eastAsia="仿宋_GB2312"/>
                <w:b/>
                <w:sz w:val="24"/>
                <w:szCs w:val="24"/>
              </w:rPr>
              <w:t>（牵头单位：区科工商务局）</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Merge w:val="restart"/>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Merge w:val="restart"/>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1.截至3月底，全区完成技改投资1.39亿元，同比增长23123.33%。</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2.现正全力推动海信空调、德邑大卫浴、协立磁业等企业开展“机器人应用”改造。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jc w:val="center"/>
              <w:rPr>
                <w:rFonts w:ascii="仿宋_GB2312" w:hAnsi="宋体" w:eastAsia="仿宋_GB2312"/>
                <w:sz w:val="24"/>
                <w:szCs w:val="24"/>
              </w:rPr>
            </w:pPr>
          </w:p>
        </w:tc>
        <w:tc>
          <w:tcPr>
            <w:tcW w:w="7187" w:type="dxa"/>
            <w:vMerge w:val="continue"/>
            <w:vAlign w:val="center"/>
          </w:tcPr>
          <w:p>
            <w:pPr>
              <w:spacing w:line="300" w:lineRule="exact"/>
              <w:ind w:firstLine="375"/>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重点推动海信电子、天地壹号等企业开展增资扩产。</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天地壹号南园区项目一期厂房已试产，宿舍楼已投入使用；研发中心已完成建设，正在进行验收；项目二期工程已完成土方平整，将于近期动工建设。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助力重点企业扩大产能、上新项目，支持大长江启动总投资32亿元的智能制造和整体搬迁项目。</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棠下镇正在进行征地拆迁工作，大长江集团正在对智能制造和整体搬迁项目进行规划设计。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6"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充分发挥中心城区优势，重点推动第三产业提档升级和产城融合发展，力争全年第三产业增加值比重达61%。</w:t>
            </w:r>
            <w:r>
              <w:rPr>
                <w:rFonts w:hint="eastAsia" w:ascii="仿宋_GB2312" w:hAnsi="宋体" w:eastAsia="仿宋_GB2312"/>
                <w:b/>
                <w:sz w:val="24"/>
                <w:szCs w:val="24"/>
              </w:rPr>
              <w:t>（牵头单位：区发展和改革局）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区统计局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1.已与国瑞地产就总部基地开发签订投资框架协议。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2.推动展会活动常态化。截至3月底，蓬江区已举办春季车展、童博会等展会活动共5场；现正协助汽车行业协会开展汽车315促销活动；中国侨镇项目、创显科教项目、迪浪大数据产业园项目均已落地。</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积极引导江门市中宏合创汽车交易有限责任公司在杜阮镇成立二手车交易市场；积极跟进华润置地、华润电力和珠海华发更新置业公司等新引进企业的发展工作;现正加快推进江门市远杨物流茶业市场项目招商引资和建设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推动主（旧）城区商贸经济提质，因地制宜发展专业市场。</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现正协助江门市中宏合创汽车交易有限责任公司在杜阮镇成立二手车交易市场。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修订完善我区促进民营经济发展相关政策，全面推动政府职能由审批向引导、服务、监管转变，大力营造宽松、透明、便利、公平营商环境，着力帮助企业、尤其是民营企业排忧解难。</w:t>
            </w:r>
            <w:r>
              <w:rPr>
                <w:rFonts w:hint="eastAsia" w:ascii="仿宋_GB2312" w:hAnsi="宋体" w:eastAsia="仿宋_GB2312"/>
                <w:b/>
                <w:sz w:val="24"/>
                <w:szCs w:val="24"/>
              </w:rPr>
              <w:t>（牵头单位：区科工商务局）</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Merge w:val="restart"/>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区教育局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区人力资源和社会保障局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区卫生健康局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区市场监管局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区法院</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区税务局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Merge w:val="restart"/>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1.积极举办政策宣贯会，邀请业务专家对民营经济政策进行全面解读；已配合市政府举办2场大规模千人宣讲会。</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全面落实“多证合一”、“证照分离”、简易注销、全程电子化、名称自主申报等一系列商改措施，并积极承接外商投资企业登记等下放行政审批事项，进一步推进“简政放权”，优化营商环境，激发市场活力。截至3月底，已办理企业简易注销登记192宗，全程电子化业务632宗，外商投资企业登记业务3宗，共有800多家企业通过名称自主申报系统成功申报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2"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jc w:val="center"/>
              <w:rPr>
                <w:rFonts w:ascii="仿宋_GB2312" w:hAnsi="宋体" w:eastAsia="仿宋_GB2312"/>
                <w:sz w:val="24"/>
                <w:szCs w:val="24"/>
              </w:rPr>
            </w:pP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充分发挥区工商联、各级商会、行业协会的桥梁纽带作用，结合区四套班子成员、镇街领导定点联系帮扶企业制度，深入开展暖企安商。</w:t>
            </w:r>
            <w:r>
              <w:rPr>
                <w:rFonts w:hint="eastAsia" w:ascii="仿宋_GB2312" w:hAnsi="宋体" w:eastAsia="仿宋_GB2312"/>
                <w:b/>
                <w:sz w:val="24"/>
                <w:szCs w:val="24"/>
              </w:rPr>
              <w:t>（牵头单位：区工商联）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林建中</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区工商联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1.已根据区委、区政府工作部署，草拟《蓬江区2019年区领导联系重点企业（暖企）行动方案》（征求意见稿），现正征求各镇街、区直各部门的意见，对纳入联系的重点企业进行核实，全力推进行动方案的落实。</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2.积极开展暖企行动，了解企业的生产经营情况及今年的生产计划，向企业宣传科技、技改等扶持政策，同时收集企业反映的问题，协调推进解决。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大力推动“个转企”。</w:t>
            </w:r>
            <w:r>
              <w:rPr>
                <w:rFonts w:hint="eastAsia" w:ascii="仿宋_GB2312" w:hAnsi="宋体" w:eastAsia="仿宋_GB2312"/>
                <w:b/>
                <w:sz w:val="24"/>
                <w:szCs w:val="24"/>
              </w:rPr>
              <w:t>（牵头单位：区市场监管局）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区市场监管局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大力推动“个转企”工作，加强组织部署，制定“个转企”工作方案，按要求做好宣传发动、指导服务等工作，大力推动“个转企”，做好“个转企”培育对象梳理工作，对旅业、娱乐业、二手车、物业管理等重点转型行业市场主体进行统计摸底，为下一步建立“个转企”培育名录库、开展分类引导帮扶工作做好准备。截至3月底，累计已推动26户个体工商户成功转型升级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完成市下达的“小升规”任务。</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区市场监管局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区统计局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1.积极举办政策宣贯会，邀请业务专家对民营经济政策进行全面解读；已配合市政府举办2场大规模千人宣讲会。</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全面落实“多证合一”、“证照分离”、简易注销、全程电子化、名称自主申报等一系列商改措施，并积极承接外商投资企业登记等下放行政审批事项，进一步推进“简政放权”，优化营商环境，激发市场活力。截至3月底，已办理企业简易注销登记192宗，全程电子化业务632宗，外商投资企业登记业务3宗，共有800多家企业通过名称自主申报系统成功申报企业名称。</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认真实施工业“小升规”培育计划，积极落实小微双创相关扶持政策；根据上级下达工业“小升规”目标任务要求，以主营业务收入1000-2000万或年纳税额超50万元的小微工业企业为重点培育对象，督促镇、街加大培育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继续抓好第四次全国经济普查工作。</w:t>
            </w:r>
            <w:r>
              <w:rPr>
                <w:rFonts w:hint="eastAsia" w:ascii="仿宋_GB2312" w:hAnsi="宋体" w:eastAsia="仿宋_GB2312"/>
                <w:b/>
                <w:sz w:val="24"/>
                <w:szCs w:val="24"/>
              </w:rPr>
              <w:t>（牵头单位：区统计局）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区统计局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根据省、市经普办的统一工作部署，区以数据质量为中心，精心组织，认真落实，全区第四次全国经济普查登记工作正有序有效推进。截至2019年4月1日，区已落实一套表上报工作；非一套表已登记单位户数达23017户，登记率93.22%（全市88.88%），上报国家系统率81.46%（全市69.50%）。</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区经普办已制定指引性和规范性文件，指导普查工作规范有序进行；已制定详细经普工作日程，明确每一时期的主要工作任务，强化时点管理；对全区情况进行评估分析，谋划在前，加强统筹，推行精细化管理；开展多形式、全方位、多层次的宣传动员，为普查登记营造良好的舆论氛围。</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 xml:space="preserve">为保障普查数据质量，区经普办加强对基层两员业务培训，夯实工作基础，规范工作流程；严格落实数据质量三级责任制，实行数据质量抽查制度，积极开展督导检查工作。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1056" w:type="dxa"/>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加快“1+3”产业平台建设</w:t>
            </w:r>
          </w:p>
        </w:tc>
        <w:tc>
          <w:tcPr>
            <w:tcW w:w="2359" w:type="dxa"/>
            <w:gridSpan w:val="2"/>
            <w:vAlign w:val="center"/>
          </w:tcPr>
          <w:p>
            <w:pPr>
              <w:spacing w:line="300" w:lineRule="exact"/>
              <w:rPr>
                <w:rFonts w:ascii="仿宋_GB2312" w:hAnsi="宋体" w:eastAsia="仿宋_GB2312"/>
                <w:b/>
                <w:sz w:val="24"/>
                <w:szCs w:val="24"/>
              </w:rPr>
            </w:pPr>
            <w:r>
              <w:rPr>
                <w:rFonts w:hint="eastAsia" w:ascii="仿宋_GB2312" w:hAnsi="宋体" w:eastAsia="仿宋_GB2312"/>
                <w:b/>
                <w:sz w:val="24"/>
                <w:szCs w:val="24"/>
              </w:rPr>
              <w:t>1.推进江门人才岛建设。（牵头单位：人才岛建设指挥部办公室）</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黎国新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人才岛建设指挥部办公室</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潮连街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江门人才岛全岛开发建设项目已列入广东省2019年重点项目，并列入粤港澳大湾区三年行动计划，目前江门人才岛项目开发建设全面加快推进。</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1.已完善组织架构，并制定了一系列工作制度。</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2.已完成项目立项和项目招标工作。</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3.已完成项目总体规划，江门市潮连岛PJ06-A地段和PJ06-D地段控规修改方案已经市规委会审议通过。潮连岛PJ06-B、PJ06-C、PJ06-E、PJ06-F地段的控规初步成果已出，已经完成公示，计划6月可报市规委会审议。</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4.确定2018年实施建设项目共三类18个，年度完成总投资25.82亿元。</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5.确定2019年计划完成投资50亿元，建设道路、水系、环岛公园等项目共64个，一季度已动工建设项目13个，总投资约25.1亿元，已有26个项目正在方案设计中。</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6.产业规划和导入方面，已签署3个产业规划合同，目前正在积极研究制定产业导入正面清单。</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7.积极推动制定针对江门人才岛的“1+N”政策，其中《关于加快人才岛开发建设的实施意见》已完成第二轮征求意见，岛内人才政策、招商引资政策、产业政策、总部经济政策、土地出让政策等正在积极推动中。</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8.土地收储方面，2017年已收储土地2835亩，2018年收储土地747亩，2019年计划开展岛内农用地全征收工作。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9.资金到位情况方面，</w:t>
            </w:r>
            <w:r>
              <w:rPr>
                <w:rFonts w:hint="eastAsia" w:ascii="仿宋_GB2312" w:hAnsi="黑体" w:eastAsia="仿宋_GB2312" w:cs="Times New Roman"/>
                <w:sz w:val="24"/>
                <w:szCs w:val="24"/>
                <w:lang w:eastAsia="zh-CN"/>
              </w:rPr>
              <w:t>截至</w:t>
            </w:r>
            <w:r>
              <w:rPr>
                <w:rFonts w:hint="eastAsia" w:ascii="仿宋_GB2312" w:hAnsi="黑体" w:eastAsia="仿宋_GB2312" w:cs="Times New Roman"/>
                <w:sz w:val="24"/>
                <w:szCs w:val="24"/>
              </w:rPr>
              <w:t>2019年4月13日，项目公司共收到各股东资本金1.71664亿元。同时，融资工作正在加快推进，为打通融资渠道，指挥部办公室对当前融资方式及路径进行了多次研究讨论。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1056" w:type="dxa"/>
            <w:vMerge w:val="continue"/>
            <w:vAlign w:val="center"/>
          </w:tcPr>
          <w:p>
            <w:pPr>
              <w:spacing w:line="300" w:lineRule="exact"/>
              <w:rPr>
                <w:rFonts w:ascii="仿宋_GB2312" w:hAnsi="宋体" w:eastAsia="仿宋_GB2312"/>
                <w:sz w:val="24"/>
                <w:szCs w:val="24"/>
              </w:rPr>
            </w:pPr>
          </w:p>
        </w:tc>
        <w:tc>
          <w:tcPr>
            <w:tcW w:w="2359" w:type="dxa"/>
            <w:gridSpan w:val="2"/>
            <w:vMerge w:val="restart"/>
            <w:vAlign w:val="center"/>
          </w:tcPr>
          <w:p>
            <w:pPr>
              <w:spacing w:line="300" w:lineRule="exact"/>
              <w:rPr>
                <w:rFonts w:ascii="仿宋_GB2312" w:hAnsi="宋体" w:eastAsia="仿宋_GB2312"/>
                <w:b/>
                <w:sz w:val="24"/>
                <w:szCs w:val="24"/>
              </w:rPr>
            </w:pPr>
            <w:r>
              <w:rPr>
                <w:rFonts w:hint="eastAsia" w:ascii="仿宋_GB2312" w:hAnsi="宋体" w:eastAsia="仿宋_GB2312"/>
                <w:b/>
                <w:sz w:val="24"/>
                <w:szCs w:val="24"/>
              </w:rPr>
              <w:t>2.推进滨江新区总部基地建设。（牵头单位：区科工商务局）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梁  朗</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tc>
        <w:tc>
          <w:tcPr>
            <w:tcW w:w="7187" w:type="dxa"/>
            <w:vMerge w:val="restart"/>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w:t>
            </w:r>
            <w:bookmarkStart w:id="0" w:name="_GoBack"/>
            <w:bookmarkEnd w:id="0"/>
            <w:r>
              <w:rPr>
                <w:rFonts w:hint="eastAsia" w:ascii="仿宋_GB2312" w:hAnsi="黑体" w:eastAsia="仿宋_GB2312" w:cs="Times New Roman"/>
                <w:b/>
                <w:sz w:val="24"/>
                <w:szCs w:val="24"/>
              </w:rPr>
              <w:t>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总部基地位于滨江新区的核心区域，总规划面积为1755亩，项目首期重点发展区面积约390亩，其中A、B地块位于北部，约330亩，规划为商业服务功能，计划建设总部经济基地；C地块位于南部，约60亩，规划为综合功能（商业商住混合功能）。 一是研究调整开发建设模式。由原来的分区分片开发模式，向整体开发模式转变，对A、B地块原来分散的15个地块进行统一打包，连片规划、一体招商、一体开发、一体经营。二是做好C地块挂牌出让工作。目前区自然资源局正在编制地块的规划条件和出让条件，便于下一步的土地挂牌工作顺利进行。</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2.已收储位于华南路以南、体育路以东地段的新昌留用地125亩，已签订《留用地折现补偿协议》并支付首期补偿款。</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3.已和国瑞地产就总部基地开发签订投资框架协议。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1056" w:type="dxa"/>
            <w:vMerge w:val="continue"/>
            <w:vAlign w:val="center"/>
          </w:tcPr>
          <w:p>
            <w:pPr>
              <w:spacing w:line="300" w:lineRule="exact"/>
              <w:rPr>
                <w:rFonts w:ascii="仿宋_GB2312" w:hAnsi="宋体" w:eastAsia="仿宋_GB2312"/>
                <w:sz w:val="24"/>
                <w:szCs w:val="24"/>
              </w:rPr>
            </w:pPr>
          </w:p>
        </w:tc>
        <w:tc>
          <w:tcPr>
            <w:tcW w:w="2359" w:type="dxa"/>
            <w:gridSpan w:val="2"/>
            <w:vMerge w:val="continue"/>
            <w:vAlign w:val="center"/>
          </w:tcPr>
          <w:p>
            <w:pPr>
              <w:spacing w:line="300" w:lineRule="exact"/>
              <w:rPr>
                <w:rFonts w:ascii="仿宋_GB2312" w:hAnsi="宋体" w:eastAsia="仿宋_GB2312"/>
                <w:b/>
                <w:sz w:val="24"/>
                <w:szCs w:val="24"/>
              </w:rPr>
            </w:pP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区土储中心</w:t>
            </w: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1056" w:type="dxa"/>
            <w:vMerge w:val="continue"/>
            <w:vAlign w:val="center"/>
          </w:tcPr>
          <w:p>
            <w:pPr>
              <w:spacing w:line="300" w:lineRule="exact"/>
              <w:rPr>
                <w:rFonts w:ascii="仿宋_GB2312" w:hAnsi="宋体" w:eastAsia="仿宋_GB2312"/>
                <w:sz w:val="24"/>
                <w:szCs w:val="24"/>
              </w:rPr>
            </w:pPr>
          </w:p>
        </w:tc>
        <w:tc>
          <w:tcPr>
            <w:tcW w:w="2359" w:type="dxa"/>
            <w:gridSpan w:val="2"/>
            <w:vMerge w:val="continue"/>
            <w:vAlign w:val="center"/>
          </w:tcPr>
          <w:p>
            <w:pPr>
              <w:spacing w:line="300" w:lineRule="exact"/>
              <w:rPr>
                <w:rFonts w:ascii="仿宋_GB2312" w:hAnsi="宋体" w:eastAsia="仿宋_GB2312"/>
                <w:b/>
                <w:sz w:val="24"/>
                <w:szCs w:val="24"/>
              </w:rPr>
            </w:pP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梁  朗</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1056" w:type="dxa"/>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加快“1+3”产业平台建设</w:t>
            </w:r>
          </w:p>
        </w:tc>
        <w:tc>
          <w:tcPr>
            <w:tcW w:w="2359" w:type="dxa"/>
            <w:gridSpan w:val="2"/>
            <w:vAlign w:val="center"/>
          </w:tcPr>
          <w:p>
            <w:pPr>
              <w:spacing w:line="300" w:lineRule="exact"/>
              <w:rPr>
                <w:rFonts w:ascii="仿宋_GB2312" w:hAnsi="宋体" w:eastAsia="仿宋_GB2312"/>
                <w:b/>
                <w:sz w:val="24"/>
                <w:szCs w:val="24"/>
              </w:rPr>
            </w:pPr>
            <w:r>
              <w:rPr>
                <w:rFonts w:hint="eastAsia" w:ascii="仿宋_GB2312" w:hAnsi="宋体" w:eastAsia="仿宋_GB2312"/>
                <w:b/>
                <w:sz w:val="24"/>
                <w:szCs w:val="24"/>
              </w:rPr>
              <w:t>3.加快江门蓬江产业转移工业园产城融合。（牵头单位：滨江新区管委会）</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刘少龙</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1.启动产业发展规划和国土空间规划编制工作,已开展园区产业发展规划工作，目前正在进行报批采购立项；</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2.园区道路建设和升级改造正按计划推进，目前道路在建工程8项，计划总投资约7.6亿元。</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3.启动华盛路西延线建设筹备工作，促进园区与滨江新区交通路网建设，全力推动产城融合。</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4.积极开展园区公共配套工程建设。协调供电水部门，加快南园区水电配套工程建设，保障项目动工建设进度。园区正开展公共配套工程、三堡村村民住宅安置区配套工程、园区党员服务大厅项目建设工程。</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激光产业园26、27号地块项目由江门市滨江新城产业园投资有限公司负责建设，其中首期建设5.5万平方米标准工业厂房，共4幢楼，每幢4层，每层面积平均约3437.5平方米。截至3月底，激光产业园1#~4#厂房除消防水池部分外，已全部完成首层地面以下工程，二层高支模架体搭设中。</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6.省已下发批文，确认将金镜山、骑龙山工业园纳入园区范围纳入园区管理。</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7.截至3月底，新开建设项目共3个（松铃机车、诺贝电机、一汇食品），计划总投资8亿元。在谈项目共5个（联东U谷、禾康包装等项目）。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1056" w:type="dxa"/>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加快“1+3”产业平台建设</w:t>
            </w:r>
          </w:p>
        </w:tc>
        <w:tc>
          <w:tcPr>
            <w:tcW w:w="2359" w:type="dxa"/>
            <w:gridSpan w:val="2"/>
            <w:vMerge w:val="restart"/>
            <w:vAlign w:val="center"/>
          </w:tcPr>
          <w:p>
            <w:pPr>
              <w:spacing w:line="300" w:lineRule="exact"/>
              <w:rPr>
                <w:rFonts w:ascii="仿宋_GB2312" w:hAnsi="宋体" w:eastAsia="仿宋_GB2312"/>
                <w:sz w:val="24"/>
                <w:szCs w:val="24"/>
              </w:rPr>
            </w:pPr>
            <w:r>
              <w:rPr>
                <w:rFonts w:hint="eastAsia" w:ascii="仿宋_GB2312" w:hAnsi="宋体" w:eastAsia="仿宋_GB2312"/>
                <w:b/>
                <w:sz w:val="24"/>
                <w:szCs w:val="24"/>
              </w:rPr>
              <w:t>4.推进会展文体中心建设及文体旅游产业发展。（牵头单位：区文化广电旅游体育局）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tc>
        <w:tc>
          <w:tcPr>
            <w:tcW w:w="7187" w:type="dxa"/>
            <w:vMerge w:val="restart"/>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1.进一步发挥会展中心的作用，推动展会活动常态化。截至3月底，蓬江区举办春季车展、童博会等展会活动共计5场。</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2.中国侨镇项目基本已落实第一期用地，面积为80亩。正密切跟进成立2019年世界排球联赛（广东</w:t>
            </w:r>
            <w:r>
              <w:rPr>
                <w:rFonts w:hint="eastAsia" w:ascii="宋体" w:hAnsi="宋体" w:cs="宋体"/>
                <w:sz w:val="24"/>
                <w:szCs w:val="24"/>
              </w:rPr>
              <w:t>•</w:t>
            </w:r>
            <w:r>
              <w:rPr>
                <w:rFonts w:hint="eastAsia" w:ascii="仿宋_GB2312" w:hAnsi="仿宋_GB2312" w:eastAsia="仿宋_GB2312" w:cs="仿宋_GB2312"/>
                <w:sz w:val="24"/>
                <w:szCs w:val="24"/>
              </w:rPr>
              <w:t>江门）赛区组委会工作</w:t>
            </w:r>
            <w:r>
              <w:rPr>
                <w:rFonts w:hint="eastAsia" w:ascii="仿宋_GB2312" w:hAnsi="黑体" w:eastAsia="仿宋_GB2312" w:cs="Times New Roman"/>
                <w:sz w:val="24"/>
                <w:szCs w:val="24"/>
              </w:rPr>
              <w:t>。</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3.已对蓬江区文化中心规划方案进行专家论证，待设计单位按照专家论证意见修改后报规委会审议;开展场地平整工程。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43" w:type="dxa"/>
            <w:vMerge w:val="continue"/>
            <w:tcBorders>
              <w:bottom w:val="single" w:color="auto" w:sz="4" w:space="0"/>
            </w:tcBorders>
            <w:vAlign w:val="center"/>
          </w:tcPr>
          <w:p>
            <w:pPr>
              <w:numPr>
                <w:ilvl w:val="0"/>
                <w:numId w:val="2"/>
              </w:numPr>
              <w:spacing w:line="300" w:lineRule="exact"/>
              <w:jc w:val="center"/>
              <w:rPr>
                <w:rFonts w:ascii="仿宋_GB2312" w:hAnsi="黑体" w:eastAsia="仿宋_GB2312" w:cs="仿宋_GB2312"/>
                <w:sz w:val="24"/>
                <w:szCs w:val="24"/>
              </w:rPr>
            </w:pPr>
          </w:p>
        </w:tc>
        <w:tc>
          <w:tcPr>
            <w:tcW w:w="1056" w:type="dxa"/>
            <w:vMerge w:val="continue"/>
            <w:vAlign w:val="center"/>
          </w:tcPr>
          <w:p>
            <w:pPr>
              <w:spacing w:line="300" w:lineRule="exact"/>
              <w:rPr>
                <w:rFonts w:ascii="仿宋_GB2312" w:hAnsi="宋体" w:eastAsia="仿宋_GB2312"/>
                <w:sz w:val="24"/>
                <w:szCs w:val="24"/>
              </w:rPr>
            </w:pPr>
          </w:p>
        </w:tc>
        <w:tc>
          <w:tcPr>
            <w:tcW w:w="2359" w:type="dxa"/>
            <w:gridSpan w:val="2"/>
            <w:vMerge w:val="continue"/>
            <w:tcBorders>
              <w:bottom w:val="single" w:color="auto" w:sz="4" w:space="0"/>
            </w:tcBorders>
            <w:vAlign w:val="center"/>
          </w:tcPr>
          <w:p>
            <w:pPr>
              <w:spacing w:line="300" w:lineRule="exact"/>
              <w:rPr>
                <w:rFonts w:ascii="仿宋_GB2312" w:hAnsi="宋体" w:eastAsia="仿宋_GB2312"/>
                <w:b/>
                <w:sz w:val="24"/>
                <w:szCs w:val="24"/>
              </w:rPr>
            </w:pPr>
          </w:p>
        </w:tc>
        <w:tc>
          <w:tcPr>
            <w:tcW w:w="1134" w:type="dxa"/>
            <w:tcBorders>
              <w:bottom w:val="single" w:color="auto" w:sz="4" w:space="0"/>
            </w:tcBorders>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tcBorders>
              <w:bottom w:val="single" w:color="auto" w:sz="4" w:space="0"/>
            </w:tcBorders>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tc>
        <w:tc>
          <w:tcPr>
            <w:tcW w:w="7187" w:type="dxa"/>
            <w:vMerge w:val="continue"/>
            <w:tcBorders>
              <w:bottom w:val="single" w:color="auto" w:sz="4" w:space="0"/>
            </w:tcBorders>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1056" w:type="dxa"/>
            <w:vMerge w:val="continue"/>
            <w:vAlign w:val="center"/>
          </w:tcPr>
          <w:p>
            <w:pPr>
              <w:spacing w:line="300" w:lineRule="exact"/>
              <w:rPr>
                <w:rFonts w:ascii="仿宋_GB2312" w:hAnsi="宋体" w:eastAsia="仿宋_GB2312"/>
                <w:sz w:val="24"/>
                <w:szCs w:val="24"/>
              </w:rPr>
            </w:pPr>
          </w:p>
        </w:tc>
        <w:tc>
          <w:tcPr>
            <w:tcW w:w="2359" w:type="dxa"/>
            <w:gridSpan w:val="2"/>
            <w:vMerge w:val="continue"/>
            <w:vAlign w:val="center"/>
          </w:tcPr>
          <w:p>
            <w:pPr>
              <w:spacing w:line="300" w:lineRule="exact"/>
              <w:rPr>
                <w:rFonts w:ascii="仿宋_GB2312" w:hAnsi="宋体" w:eastAsia="仿宋_GB2312"/>
                <w:b/>
                <w:sz w:val="24"/>
                <w:szCs w:val="24"/>
              </w:rPr>
            </w:pP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区建管中心</w:t>
            </w: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做好载体建设计划，年内建成工业载体超50万平方米。</w:t>
            </w:r>
            <w:r>
              <w:rPr>
                <w:rFonts w:hint="eastAsia" w:ascii="仿宋_GB2312" w:hAnsi="宋体" w:eastAsia="仿宋_GB2312"/>
                <w:b/>
                <w:sz w:val="24"/>
                <w:szCs w:val="24"/>
              </w:rPr>
              <w:t>（牵头单位：区住房城乡建设局）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截至3月底，全区建成工业载体5.7万平方米。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全力做好土地收储，力争在2020年底前新增收储土地6930亩。</w:t>
            </w:r>
            <w:r>
              <w:rPr>
                <w:rFonts w:hint="eastAsia" w:ascii="仿宋_GB2312" w:hAnsi="宋体" w:eastAsia="仿宋_GB2312"/>
                <w:b/>
                <w:sz w:val="24"/>
                <w:szCs w:val="24"/>
              </w:rPr>
              <w:t>（牵头单位：区土储中心）</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区土储中心</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江沙示范园区扩园项目所在的三堡村下属3个小组已通过表决，同意由政府征收该1800亩土地；现已签订《征收土地补偿协议》并约定分三期支付补偿款，现已支付首期补偿款；青苗、地上附着物及建（构）筑物的清单工作已陆续开展。</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新昌留用地项目125亩，已签订《留用地折现补偿协议》并支付首期补偿款；环市轮毂厂项目180亩，已签订《收回国有土地使用权补偿协议》并已支付补偿款；杜阮华基项目67亩，已签订《收回土地使用权补偿协议》并支付补偿款。该3个项目均纳入2019年土地专项债券项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力争启动如下新收储项目：拟全面征收人才岛农用地及未利用地1474亩；拟征收滨江新区天沙河以西农用地620亩；拟协议政府回购滨江新区留用地990亩；拟征收井根两个工业园区周边农用地共1597亩；拟征收滨江新区TOD项目余下农用地；拟征收荷塘禾岗农用地540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加快解决批而未供土地问题，计划供地2861亩。</w:t>
            </w:r>
            <w:r>
              <w:rPr>
                <w:rFonts w:hint="eastAsia" w:ascii="仿宋_GB2312" w:hAnsi="宋体" w:eastAsia="仿宋_GB2312"/>
                <w:b/>
                <w:sz w:val="24"/>
                <w:szCs w:val="24"/>
              </w:rPr>
              <w:t>（牵头单位：区自然资源局）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截至4月4日，已供地5宗共228256.67方（342.385005亩），其中工业2宗26532.03方（39.798045亩）、教育用地1宗136735.82方（205.10373亩）、商服2宗64988.82方（97.48323亩）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整合提升、改造镇村级工业园，大力开展以“工改工”为主体的三旧改造。</w:t>
            </w:r>
            <w:r>
              <w:rPr>
                <w:rFonts w:hint="eastAsia" w:ascii="仿宋_GB2312" w:hAnsi="宋体" w:eastAsia="仿宋_GB2312"/>
                <w:b/>
                <w:sz w:val="24"/>
                <w:szCs w:val="24"/>
              </w:rPr>
              <w:t>（牵头单位：区自然资源局）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1.已制定蓬江区“三旧”改造三年滚动计划表（内含工改工）并已报市三旧办；</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正在动工项目进度：火炬高新技术创业园主体工程建设中；白土工业区创业园（科技孵化器）正在开展装修深化方案设计；柏力科技园一期正施工外饰面工程和配套安装工程；棠下镇新昌科技园2#、3#、4#、5#科研楼已封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有序加快化工、玻璃、制革、造纸、陶瓷行业退出。</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区应急管理局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区市场监督管理局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蓬江消防大队</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截至3月底，已关停化工、玻璃、制革、造纸、陶瓷行业企业77家。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整合化工、玻璃、制革、造纸、陶瓷行业退出后的土地载体资源。</w:t>
            </w:r>
            <w:r>
              <w:rPr>
                <w:rFonts w:hint="eastAsia" w:ascii="仿宋_GB2312" w:hAnsi="宋体" w:eastAsia="仿宋_GB2312"/>
                <w:b/>
                <w:sz w:val="24"/>
                <w:szCs w:val="24"/>
              </w:rPr>
              <w:t>（牵头单位：区自然资源局）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区科工商务局正整理退出企业清单，待清单确定后，区自然资源局将跟进整合退出企业的土地载体资源。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盘活闲置土地、低效用地，依法收回到期未动工建设（开发）的土地。</w:t>
            </w:r>
            <w:r>
              <w:rPr>
                <w:rFonts w:hint="eastAsia" w:ascii="仿宋_GB2312" w:hAnsi="宋体" w:eastAsia="仿宋_GB2312"/>
                <w:b/>
                <w:sz w:val="24"/>
                <w:szCs w:val="24"/>
              </w:rPr>
              <w:t>（牵头单位：区自然资源局）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区土储中心</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根据广东省土地市场动态监测和动态监管系统显示，截至4月1日，区共有6宗共138.22亩疑似闲置土地待处理，目前区自然资源局已向相关企业发出《闲置土地调查通知书》，以及向市、区相关部门及镇街发函了解该地块具体情况及闲置原因，待综合市、区两级各相关部门意见，确认闲置土地原因后，根据《闲置土地处置办法》对上述疑似闲置土地进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全面摸清盘活全区厂房、商铺等各类空置物业。</w:t>
            </w:r>
            <w:r>
              <w:rPr>
                <w:rFonts w:hint="eastAsia" w:ascii="仿宋_GB2312" w:hAnsi="宋体" w:eastAsia="仿宋_GB2312"/>
                <w:b/>
                <w:sz w:val="24"/>
                <w:szCs w:val="24"/>
              </w:rPr>
              <w:t>（牵头单位：区科工商务源局）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1.已完成第一季度厂房、商铺等各类空置物业情况收集工作。</w:t>
            </w:r>
          </w:p>
          <w:p>
            <w:pPr>
              <w:spacing w:line="300" w:lineRule="exact"/>
              <w:ind w:firstLine="480" w:firstLineChars="200"/>
              <w:rPr>
                <w:rFonts w:ascii="宋体" w:hAnsi="宋体" w:cs="宋体"/>
                <w:sz w:val="24"/>
                <w:szCs w:val="24"/>
              </w:rPr>
            </w:pPr>
            <w:r>
              <w:rPr>
                <w:rFonts w:hint="eastAsia" w:ascii="仿宋_GB2312" w:hAnsi="宋体" w:eastAsia="仿宋_GB2312" w:cs="宋体"/>
                <w:sz w:val="24"/>
                <w:szCs w:val="24"/>
              </w:rPr>
              <w:t>2.电子产业地图已初步搭建完成。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加强国资国企监管，有针对性对国资国企进行改革。坚持政企分开、政资分开，明晰区属国企定位和发展方向，制定权责清单。</w:t>
            </w:r>
            <w:r>
              <w:rPr>
                <w:rFonts w:hint="eastAsia" w:ascii="仿宋_GB2312" w:hAnsi="宋体" w:eastAsia="仿宋_GB2312"/>
                <w:b/>
                <w:sz w:val="24"/>
                <w:szCs w:val="24"/>
              </w:rPr>
              <w:t>（牵头单位：区国有资产监督管理局）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区中小企业服务中心</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根据企业上报的最新进展情况，按计划“注销”的17家企业中，有5家将于4月底前完成注销手续；10家已进入公告期，预计5月底前完成注销手续；另有1家企业因涉及到合伙企业注销，预计要到8月才完成注销工作。按计划“待具备条件后注销”的4家企业，有1家处置进度已进入了公告期，预计5月内可完成注销登记手续；其余3家暂未具备注销条件。区国有资产监督管理局于3月26日下发《关于加快推进“三无企业”处置工作的通知》至各一级企业，通报了处置工作进度并提出加快处置的有关工作要求。</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2.滨棠公司、蓬程公司、滨江城投公司的工商变更手续滨江管理公司正在办理之中。</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3.资产公司的房产土地已办理移交，财务管理的移交正在对接中；财信公司的房产土地已办理移交，财务管理、农行资产包、退市档案的移交正在对接中；蓬程公司正在开展审计工作。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4.已成立深化区属国企改革工作小组，目前正对区属国企、镇（街）属企业的资产状况、经营状况进行详细的摸查，以此作为下阶段实施区属国企结构性优化的基础和依据。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建立完善规章制度，进一步理顺管理机制，健全国有资产监督管理体系。</w:t>
            </w:r>
            <w:r>
              <w:rPr>
                <w:rFonts w:hint="eastAsia" w:ascii="仿宋_GB2312" w:hAnsi="宋体" w:eastAsia="仿宋_GB2312"/>
                <w:b/>
                <w:sz w:val="24"/>
                <w:szCs w:val="24"/>
              </w:rPr>
              <w:t>（牵头单位：区国有资产监督管理局）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 1月初已下达区属企业2019年度财务预算编制工作，目前6家一级企业已提交预算编制初稿。</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2.滨江管理公司、江沙公司基本完成内部制度框架搭建.下一步将督促区属一级国企于6月前基本完成制度搭建。</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3.在国资管理1+６方案的基础上，逐步建立完善涵盖薪酬制度、资金使用、债务风险管理、安全生产、工程建设、审计等国资监管和权力运行制度，实现企业国有资产监督全覆盖。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增强市场化运作、运营能力，推动区属国企与中油碧辟等优质社会资本合作开展实体经营性项目，加快特成沙等国企优质土地开发建设。</w:t>
            </w:r>
            <w:r>
              <w:rPr>
                <w:rFonts w:hint="eastAsia" w:ascii="仿宋_GB2312" w:hAnsi="宋体" w:eastAsia="仿宋_GB2312"/>
                <w:b/>
                <w:sz w:val="24"/>
                <w:szCs w:val="24"/>
              </w:rPr>
              <w:t>（牵头单位：区国有资产监督管理局）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1.全岛水系改造工程（一期）—示范段已完成总工程量70%；全岛水系改造工程（二期）—A、F片区环岛公园已开工建设，已完成场地清表及施工区域围蔽，A片区机耕路试桩完成9根，F片区机耕路试桩完成4根。</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滨江管理公司名下的26号地，50号地目前抵押在江门农商银行，滨江管理公司拟将两地块通过广州产权交易所对外征集合作方。目前合作模式及公开招集合作方的请示已经上报区政府，待批复通过后可按计划挂网。在公开征集合作方的挂牌公告结束前，滨江公司拟以自筹资金或启用江门市蓬江区资产经营管理有限公司名下特成沙地块进行抵押物置换的方式解除26号、50号地块的抵押。</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3.特成沙地块合作模式尚未确定，目前滨江公司正在与大型房地产机构商谈合作开发的方案及条件。</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中油碧辟加油站用地莲塘二路地块已缴纳土地款，并计划办理不动产权登记证。另计划与BP签订土地租赁协议，协议已根据双方及律师意见修改定稿，经上报审批同意后可与中油碧辟签订租赁协议，由中油碧辟负责工程报建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提升融资能力，拓展融资渠道，为发展提供资金保障。</w:t>
            </w:r>
            <w:r>
              <w:rPr>
                <w:rFonts w:hint="eastAsia" w:ascii="仿宋_GB2312" w:hAnsi="宋体" w:eastAsia="仿宋_GB2312"/>
                <w:b/>
                <w:sz w:val="24"/>
                <w:szCs w:val="24"/>
              </w:rPr>
              <w:t>（牵头单位：区国有资产监督管理局）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推动区属国企逐步向市场化经营实体转变，积极拓展企业的经营资源和开发经营性项目，彻底改变企业单一依托土地出让收入成本返还的收入结构。如目前正参照滨江管理52号地与越秀地产合作开发的模式，加快该司名下26#、48#、50#地块公开征集合作方的工作，择优选定合作方，通过与合作方共同启动地块的合作开发，盘活公司现有土地资源，进一步增加公司的经营性现金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滨江管理公司已于3月成功发行PPN3亿元，目前已累计成功发行5亿元，剩余额度15亿元将于2019年12月25日到期，争取于到期日前发行剩余额度；滨江管理公司已于3月成功发行私募债1亿元，目前已累计成功发行4.55亿元，剩余额度15.45亿元将于2020年4月27日到期，争取于到期日前发行剩余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落实和健全风险监测、评估、预警和处置机制，密切防范化解重大风险，切实防止国有资产流失。</w:t>
            </w:r>
            <w:r>
              <w:rPr>
                <w:rFonts w:hint="eastAsia" w:ascii="仿宋_GB2312" w:hAnsi="宋体" w:eastAsia="仿宋_GB2312"/>
                <w:b/>
                <w:sz w:val="24"/>
                <w:szCs w:val="24"/>
              </w:rPr>
              <w:t>（牵头单位：区国有资产监督管理局）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建立定期企业资金筹划分析工作机制，对滨江管理公司、江沙工业园公司、珠控集团三大区属重点企业2019年资金情况进行摸查，报送2019年企业收入、支出、预计缺口资口情况，同时每季度将按照实际情况对数据进行更新。</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通过报送和分析重点企业的资金使用计划及资金缺口情况，统筹区属国企资金资源，筹划区属国企资金运作，保障近期刚性兑付资金需求，确保对外融资债务按期还本付息，避免产生系统性金融风险；要求企业提出内部风险预警机制和内部风险评估机制的方案，并报区国有资产监督管理局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完成产业发展规划编制，明确发展定位和工作思路。</w:t>
            </w:r>
            <w:r>
              <w:rPr>
                <w:rFonts w:hint="eastAsia" w:ascii="仿宋_GB2312" w:hAnsi="宋体" w:eastAsia="仿宋_GB2312"/>
                <w:b/>
                <w:sz w:val="24"/>
                <w:szCs w:val="24"/>
              </w:rPr>
              <w:t>（牵头单位：区发展和改革局）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区采购中心</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成功召开蓬江区产业发展总体规划编制工作推进会议，对《江门市蓬江区产业发展规划思路研究》、《江门市蓬江区产业发展历程及现状研究报告》、《江门市蓬江区工业企业调研报告》三份研究初步成果进行研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投入粤港澳大湾区建设调研工作，全面对接粤港澳大湾区建设。</w:t>
            </w:r>
            <w:r>
              <w:rPr>
                <w:rFonts w:hint="eastAsia" w:ascii="仿宋_GB2312" w:hAnsi="宋体" w:eastAsia="仿宋_GB2312"/>
                <w:b/>
                <w:sz w:val="24"/>
                <w:szCs w:val="24"/>
              </w:rPr>
              <w:t>（牵头单位：区发展和改革局）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区委办、区政府办公室</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区委政法委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区卫生健康局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区工商联</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形成《全面拓展与粤港澳大湾区城市互联互通（初稿）》、《营造优越营商环境，提升城市区域竞争力（初稿）》、《关于“加快产业转型升级，推动区经济实现高质量发展”的调研报告（初稿）》、《关于“以三大平台建设打造粤港澳大湾区产业对接平台”的调研报告（初稿）》四篇调研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推动交通大会战工作，规划对接珠西综合交通枢纽、港珠澳大桥、深中通道等互联互通快速道路，加快区内各出入口连通建设，打造内联外拓交通网络，全面融入“轨道上的粤港澳大湾区”。</w:t>
            </w:r>
            <w:r>
              <w:rPr>
                <w:rFonts w:hint="eastAsia" w:ascii="仿宋_GB2312" w:hAnsi="宋体" w:eastAsia="仿宋_GB2312"/>
                <w:b/>
                <w:sz w:val="24"/>
                <w:szCs w:val="24"/>
              </w:rPr>
              <w:t>（牵头单位：区住房城乡建设局）</w:t>
            </w:r>
          </w:p>
        </w:tc>
        <w:tc>
          <w:tcPr>
            <w:tcW w:w="1134" w:type="dxa"/>
            <w:vAlign w:val="center"/>
          </w:tcPr>
          <w:p>
            <w:pPr>
              <w:spacing w:line="300" w:lineRule="exact"/>
              <w:jc w:val="center"/>
              <w:rPr>
                <w:rFonts w:ascii="仿宋_GB2312" w:hAnsi="宋体" w:eastAsia="仿宋_GB2312" w:cs="Times New Roman"/>
                <w:sz w:val="24"/>
                <w:szCs w:val="24"/>
                <w:highlight w:val="yellow"/>
              </w:rPr>
            </w:pPr>
            <w:r>
              <w:rPr>
                <w:rFonts w:hint="eastAsia" w:ascii="仿宋_GB2312" w:hAnsi="宋体" w:eastAsia="仿宋_GB2312" w:cs="Times New Roman"/>
                <w:sz w:val="24"/>
                <w:szCs w:val="24"/>
              </w:rPr>
              <w:t>亢雁直</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highlight w:val="yellow"/>
              </w:rPr>
            </w:pPr>
            <w:r>
              <w:rPr>
                <w:rFonts w:hint="eastAsia" w:ascii="仿宋_GB2312" w:hAnsi="宋体" w:eastAsia="仿宋_GB2312"/>
                <w:sz w:val="24"/>
                <w:szCs w:val="24"/>
              </w:rPr>
              <w:t>区自然资源局</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highlight w:val="yellow"/>
              </w:rPr>
            </w:pPr>
            <w:r>
              <w:rPr>
                <w:rFonts w:hint="eastAsia" w:ascii="仿宋_GB2312" w:hAnsi="黑体" w:eastAsia="仿宋_GB2312" w:cs="Times New Roman"/>
                <w:sz w:val="24"/>
                <w:szCs w:val="24"/>
              </w:rPr>
              <w:t>已委托相关单位编制《江门市蓬江区三年交通基础设施（2018-2020）建设方案报告》，目前正进行第二轮征求意见准备工作。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加强产业对接，积极承接广州、深圳等发达地区的产能溢出，力促创显科教项目、迪浪大数据等项目年内动工建设。</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环市街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1.迪浪大数据产业园已完成首期拍地手续；</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2.迪浪大数据及创显科教项目正在进行规划设计。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8"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助推企业“走出去”，发挥侨乡优势，加强与港澳交流合作。</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区委统战部</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1.已于3月19日在香港召开蓬江区投资推介会。</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2.第一季度积极发动区内企业参加广东（巴拿马）商品展览会、广东（巴西）商品展览会、广东（墨西哥）商品展览会等多个境外展会，支持区企业开拓国际市场。</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积极配合市商务局做好境外投资企业的服务工作，转发市商务局关于对《对外承包工程业务统计调查制度》和《对外劳务合作业务统计调查制度》以及做好境外中资企业机构和人员安全工作的相关通知给本辖区境外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发挥职能作用，进一步加强与台港澳社团、协会、知名人士等的沟通联系，促进蓬江区与台港澳三地的文化、教育、经贸等方面的交流合作。</w:t>
            </w:r>
            <w:r>
              <w:rPr>
                <w:rFonts w:hint="eastAsia" w:ascii="仿宋_GB2312" w:hAnsi="宋体" w:eastAsia="仿宋_GB2312"/>
                <w:b/>
                <w:sz w:val="24"/>
                <w:szCs w:val="24"/>
              </w:rPr>
              <w:t>（牵头单位：区委统战部）</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林建中</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区委统战部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区教育局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团区委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区工商联</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1.开展对外联谊</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（1）2、3月，参加香港荷塘同乡会、潮连同乡会庆典。</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（2）3月1日，接待香港五邑总会回乡考察。</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（3）3月2日，接待香港渠务署唐嘉鸿署长到白石乡考察交流。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（4）3月16日，接待香港荷塘同乡会、澳门荷塘同乡会回乡考察。</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2.江港澳文化、教育交流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（1）2月21日，香港五邑工商总会学校到紫沙小学学习交流。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（2）2月23日,培英初中小学赴港参加“丝铜颂培英情”音乐会。</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（3）3月1日，香港狮子会中学到范罗冈小学学习交流。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（4）3月1日，接待香港中学先导团参观南方教装。</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（5）3月13日，香港培英小学到培英小学学习交流。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（6）3月18日，范罗冈小学三名教师到澳门莲峰普济学校作教学交流。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（7）3月29日，香港天水围香岛中学到怡福中学参观学习交流。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3.对外经贸交流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（1）2月21日，拜会美心集团主席伍伟国先生，协调厂房建设及增资扩产事宜。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（2）3月18日，区投资环境推介会期间，区领导和相关职能部门、镇街的领导分别拜访港澳重点企业、社团及知名人士。</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（3）3月27日，张文新常委与区科工商务局赴港澳参加市招商推介会。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推进商事制度改革，将企业开办时间压缩至3个工作日内。深化“证照分离”改革，破解“准入不准营”难题。</w:t>
            </w:r>
            <w:r>
              <w:rPr>
                <w:rFonts w:hint="eastAsia" w:ascii="仿宋_GB2312" w:hAnsi="宋体" w:eastAsia="仿宋_GB2312"/>
                <w:b/>
                <w:sz w:val="24"/>
                <w:szCs w:val="24"/>
              </w:rPr>
              <w:t>（牵头单位：区市场监管局）</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Merge w:val="restart"/>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区市场监管局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区政务服务数据管理局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区税务局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区公安分局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区直有关单位</w:t>
            </w:r>
          </w:p>
        </w:tc>
        <w:tc>
          <w:tcPr>
            <w:tcW w:w="7187" w:type="dxa"/>
            <w:vMerge w:val="restart"/>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继续全面落实“多证合一”、“证照分离”、简易注销、全程电子化、名称自主申报、住所申报制等一系列商改措施，并积极承接外商投资企业登记等下放行政审批事项，进一步推进“简政放权”，优化营商环境，激发市场活力。</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截至3月底，共发放“多证合一”营业执照4617张，办理“证照分离”业务2732宗，企业简易注销登记192宗，全程电子化登记632宗，住所申报制70宗，外商投资企业登记业务3宗，共有800多家企业通过名称自主申报系统成功申报企业名称。</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3.积极落实开办企业1个工作日示范点有关工作要求，提高办事效率和服务质量，不断提升开办企业便利度和企业办事获得感。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jc w:val="center"/>
              <w:rPr>
                <w:rFonts w:ascii="仿宋_GB2312" w:hAnsi="宋体" w:eastAsia="仿宋_GB2312"/>
                <w:sz w:val="24"/>
                <w:szCs w:val="24"/>
              </w:rPr>
            </w:pP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jc w:val="center"/>
              <w:rPr>
                <w:rFonts w:ascii="仿宋_GB2312" w:hAnsi="宋体" w:eastAsia="仿宋_GB2312"/>
                <w:sz w:val="24"/>
                <w:szCs w:val="24"/>
              </w:rPr>
            </w:pP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进一步完善“容缺办理”“容缺审批”双轨机制。</w:t>
            </w:r>
            <w:r>
              <w:rPr>
                <w:rFonts w:hint="eastAsia" w:ascii="仿宋_GB2312" w:hAnsi="宋体" w:eastAsia="仿宋_GB2312"/>
                <w:b/>
                <w:sz w:val="24"/>
                <w:szCs w:val="24"/>
              </w:rPr>
              <w:t>（牵头单位：区发展和改革局）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区市场监管局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区政务服务数据管理局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深化容缺审批制度，研究制定区进一步深化投资项目承诺制改革试点方案，推进“容缺办理”双轨机制，办理项目备案时不再要求提交营业执照、法人代表身份证等信息，截至3月底已完成1个项目容缺审批事项。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深化清单制和委托制改革。</w:t>
            </w:r>
            <w:r>
              <w:rPr>
                <w:rFonts w:hint="eastAsia" w:ascii="仿宋_GB2312" w:hAnsi="宋体" w:eastAsia="仿宋_GB2312"/>
                <w:b/>
                <w:sz w:val="24"/>
                <w:szCs w:val="24"/>
              </w:rPr>
              <w:t>（牵头单位：区政务服务数据管理局）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区政务服务数据管理局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区直有关部门</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w:t>
            </w:r>
            <w:r>
              <w:rPr>
                <w:rFonts w:hint="eastAsia" w:ascii="仿宋_GB2312" w:hAnsi="黑体" w:eastAsia="仿宋_GB2312" w:cs="Times New Roman"/>
                <w:b/>
                <w:sz w:val="24"/>
                <w:szCs w:val="24"/>
              </w:rPr>
              <w:t>清单制：</w:t>
            </w:r>
            <w:r>
              <w:rPr>
                <w:rFonts w:hint="eastAsia" w:ascii="仿宋_GB2312" w:hAnsi="黑体" w:eastAsia="仿宋_GB2312" w:cs="Times New Roman"/>
                <w:sz w:val="24"/>
                <w:szCs w:val="24"/>
              </w:rPr>
              <w:t>紧密结合区机构改革相关部门撤并情况，及时动态调整有关部门行政审批事项，更新业务手册和办事指南，充实网上办事大厅相关办理内容。</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ascii="仿宋_GB2312" w:hAnsi="黑体" w:eastAsia="仿宋_GB2312" w:cs="Times New Roman"/>
                <w:b/>
                <w:sz w:val="24"/>
                <w:szCs w:val="24"/>
              </w:rPr>
              <w:t>委托制：</w:t>
            </w:r>
            <w:r>
              <w:rPr>
                <w:rFonts w:hint="eastAsia" w:ascii="仿宋_GB2312" w:hAnsi="黑体" w:eastAsia="仿宋_GB2312" w:cs="Times New Roman"/>
                <w:sz w:val="24"/>
                <w:szCs w:val="24"/>
              </w:rPr>
              <w:t>进一步跟踪落实市、区、镇（街）三级委托制执行情况，协助有关区直部门提前做好业务专用章替换工作，听取各方对委托制反馈意见。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深入推进行政执法体制改革。</w:t>
            </w:r>
            <w:r>
              <w:rPr>
                <w:rFonts w:hint="eastAsia" w:ascii="仿宋_GB2312" w:hAnsi="宋体" w:eastAsia="仿宋_GB2312"/>
                <w:b/>
                <w:sz w:val="24"/>
                <w:szCs w:val="24"/>
              </w:rPr>
              <w:t>（牵头单位：区委编办）</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区委编办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区直有关部门</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根据省、市要求，配合地方机构改革专题组开展摸底工作，填报《综合执法队伍人员编制锁定情况统计表》，做好区综合执法队伍编制情况的统计工作。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深化投资项目承诺制改革，全年承诺制管理投资项目突破20个，力争5亿元以上工业投资项目实行承诺制。</w:t>
            </w:r>
            <w:r>
              <w:rPr>
                <w:rFonts w:hint="eastAsia" w:ascii="仿宋_GB2312" w:hAnsi="宋体" w:eastAsia="仿宋_GB2312"/>
                <w:b/>
                <w:sz w:val="24"/>
                <w:szCs w:val="24"/>
              </w:rPr>
              <w:t>（牵头单位：区发展和改革局）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区卫生健康局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区应急管理局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深入推进承诺制改革，研究制定区进一步深化投资项目承诺制改革试点方案，将进行第三次征求意见，争取于4月底前印发，加大改革推进力度；跟踪服务2019年新立项、总投资5亿元以上工业项目，积极宣传承诺制政策措施，争取更多符合条件的项目参与改革，已有4个项目的审批事项采用承诺制模式管理，其中5亿元以上工业项目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深化一门式改革，深化审批服务改革，推进省、市、区三级系统融合互通，进一步拓展“十分钟便企便民服务圈”，实现全区90%以上行政审批和公共服务事项进驻一门式办理。</w:t>
            </w:r>
            <w:r>
              <w:rPr>
                <w:rFonts w:hint="eastAsia" w:ascii="仿宋_GB2312" w:hAnsi="宋体" w:eastAsia="仿宋_GB2312"/>
                <w:b/>
                <w:sz w:val="24"/>
                <w:szCs w:val="24"/>
              </w:rPr>
              <w:t>（牵头单位：区政务服务数据管理局）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区政务服务数据管理局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区直各部门</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1.按照上级部门要求，已组织区职能部门通过广东省政务服务事项标准化梳理系统对区行政权力事项和公共服务事项进行事项梳理，共梳理出5428项政务服务事项。</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2.区共有19个部门787项法人业务（含1个市直部门4项服务事项）进驻法人“一门式”办理；共有16个部门339项业务进驻自然人“一门式”办理。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强化企业创新主体地位，力争规上工业企业设立研发机构比例超60%，国家级高新技术企业总数超330家，新增科技型小微企业80家，新增省市工程技术研究中心30个。</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1.通过走访调研区内省工程中心建设单位，了解企业研发建设情况，开展科技政策宣传和业务指导工作。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2.积极联动各镇、街，下达高新技术企业认定任务指标，做好申报认定准备工作。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3.做好科技企业调研工作，针对重点企业进行走访指导，准备组织申报高新技术企业认定。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8"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对接广深科技创新走廊，力争省市新型研发机构达10家，院士工作站达4家。</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区人力资源和社会保障局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1.已开展企业走访工作，积极进行政策宣贯，了解企业需求，引导企业开展高层次人才合作。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2.正密切跟踪汇海院士工作站开展情况。</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3.正针对重点科研机构开展调研，加强科技研发活动指导工作。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做强做优创新平台体系，充分激发激光清洗院士工作站等平台的创新活力。</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1.继续跟踪、调研海目星公司、珠西智能激光研究院等创新平台的运营情况，指导其继续开展科技创新活动并提供科技业务、政策指导。</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2.已开展市级重大科技创新平台资金申报工作。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营造良好创新生态圈，强化知识产权保护和运用，加大科技贴息贷款、知识产权质押融资扶持力度，健全产学研一体化创新机制。</w:t>
            </w:r>
            <w:r>
              <w:rPr>
                <w:rFonts w:hint="eastAsia" w:ascii="仿宋_GB2312" w:hAnsi="宋体" w:eastAsia="仿宋_GB2312"/>
                <w:b/>
                <w:sz w:val="24"/>
                <w:szCs w:val="24"/>
              </w:rPr>
              <w:t>（牵头单位：区市场监管局）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区市场监管局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1.认真贯彻落实上级部门的政策措施，积极实施知识产权发展战略和专利质量提升工程。</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2.做好科技贴息贷款、知识产权质押融资的政策宣传。</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3.积极与高校沟通交流，开展产学研合作相关工作。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着力构建孵化育成体系，全面落实珠三角（江门）国家自主创新示范区建设工作。</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已开展前期调研工作，多方面了解区内镇、街，特别是白沙街道等老城区的闲置土地、厂房等资源，引导民营企业对闲置资源进行再整合。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紧抓招商引资经济生命线，力争引进超20亿元、超10亿元项目各1个，超5亿元项目3个，超亿元项目8个。</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已引入超5亿元项目1个，超亿元项目2个。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针对智能装备、人工智能等新兴产业开展重点招商，依托江门蓬江产业转移工业园，引进集总部、科研、高端制造于一体的“园中园”项目和优质智能制造项目。</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已对接收集高盛集团“园中园”项目、联东集团“园中园”项目线索。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积极探索“零地招商”模式，对低效载体开展“工改工”“工改商”，引进优质企业进行片区开发和运营，促进产城融合发展。整合现有招商平台，建立激励机制，力争产业招商取得新突破。</w:t>
            </w:r>
            <w:r>
              <w:rPr>
                <w:rFonts w:hint="eastAsia" w:ascii="仿宋_GB2312" w:hAnsi="宋体" w:eastAsia="仿宋_GB2312"/>
                <w:b/>
                <w:sz w:val="24"/>
                <w:szCs w:val="24"/>
              </w:rPr>
              <w:t>（牵头单位：区科工商务局）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张文新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1.已完区载体资源的摸底工作。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2.已与高盛集团、国瑞地产、联东集团等优质企业进行对接。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深化人才引育，引进紧缺、适用的博硕人才，继续推进江门人力资源服务产业园各项工作，打造“蓬江人才服务”品牌。</w:t>
            </w:r>
            <w:r>
              <w:rPr>
                <w:rFonts w:hint="eastAsia" w:ascii="仿宋_GB2312" w:hAnsi="宋体" w:eastAsia="仿宋_GB2312"/>
                <w:b/>
                <w:sz w:val="24"/>
                <w:szCs w:val="24"/>
              </w:rPr>
              <w:t>（牵头单位：区委组织部）</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深化人才引育，继续做好乡村振兴博硕人才引育工程相关工作，持续推进江门人力资源服务产业园各项工作。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持续完善人才落户、住房、子女入学、医疗保障、养老等配套，推进各项人才政策落地生效。</w:t>
            </w:r>
            <w:r>
              <w:rPr>
                <w:rFonts w:hint="eastAsia" w:ascii="仿宋_GB2312" w:hAnsi="宋体" w:eastAsia="仿宋_GB2312"/>
                <w:b/>
                <w:sz w:val="24"/>
                <w:szCs w:val="24"/>
              </w:rPr>
              <w:t>（牵头单位：区委组织部）</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区教育局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区卫生健康局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1.结合区人才工作实际，贯彻落实《关于进一步集聚新时代人才建设人才强市的意见》（江府〔2019〕12号），并研究起草具体实施意见和江门人才岛专属政策。</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2.抓好各项人才政策落地生效，做好人才服务工作，多形式举办人才交流活动。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restart"/>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打造蓬江城市中央活动区，用“绣花功夫”提升生活环境，参与共建粤港澳大湾区优质生活圈。</w:t>
            </w:r>
            <w:r>
              <w:rPr>
                <w:rFonts w:hint="eastAsia" w:ascii="仿宋_GB2312" w:hAnsi="宋体" w:eastAsia="仿宋_GB2312"/>
                <w:b/>
                <w:sz w:val="24"/>
                <w:szCs w:val="24"/>
              </w:rPr>
              <w:t>（牵头单位：区住房城乡建设局）</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tc>
        <w:tc>
          <w:tcPr>
            <w:tcW w:w="7187" w:type="dxa"/>
            <w:vMerge w:val="restart"/>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1.院士路、迎宾大道的道路亮化提升项目已完成前期筹备工作；已于春节前投入390万元完成万达广场前花卉绿化景观项目。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2.区城心轴线道路品质提升工程已完成施工图，正按计划施工；已完成发展大道北侧、华侨广场、广场环路（内环）人行道、非机动车道及绿化改造。正在进行广场环路（外环）人行道、非机动车道及绿化改造。</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3.院士路萃锦园花圃改造项目已立项，目前在环市街财政审核预算阶段。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highlight w:val="yellow"/>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区建管中心</w:t>
            </w: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highlight w:val="yellow"/>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环市街</w:t>
            </w: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b/>
                <w:sz w:val="24"/>
                <w:szCs w:val="24"/>
              </w:rPr>
            </w:pPr>
            <w:r>
              <w:rPr>
                <w:rFonts w:hint="eastAsia" w:ascii="仿宋_GB2312" w:hAnsi="宋体" w:eastAsia="仿宋_GB2312"/>
                <w:sz w:val="24"/>
                <w:szCs w:val="24"/>
              </w:rPr>
              <w:t>计划启动总投资约83亿元的建设项目开展城市品质提升，其中政府计划总投资约17亿元。</w:t>
            </w:r>
            <w:r>
              <w:rPr>
                <w:rFonts w:hint="eastAsia" w:ascii="仿宋_GB2312" w:hAnsi="宋体" w:eastAsia="仿宋_GB2312"/>
                <w:b/>
                <w:sz w:val="24"/>
                <w:szCs w:val="24"/>
              </w:rPr>
              <w:t>（牵头单位：区住房城乡建设局）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lang w:eastAsia="zh-CN"/>
              </w:rPr>
              <w:t>截至</w:t>
            </w:r>
            <w:r>
              <w:rPr>
                <w:rFonts w:hint="eastAsia" w:ascii="仿宋_GB2312" w:hAnsi="黑体" w:eastAsia="仿宋_GB2312" w:cs="Times New Roman"/>
                <w:sz w:val="24"/>
                <w:szCs w:val="24"/>
              </w:rPr>
              <w:t>3月底，蓬江区2019年城市品质提升行动任务清单1-3月完成投资额8.3亿元，完成投资率10%。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加强城区道路配套建设，完成约10万平方米道路维修工程，确保主干道装灯率达100%，提升城市出入口、高速公路出入口景观。</w:t>
            </w:r>
            <w:r>
              <w:rPr>
                <w:rFonts w:hint="eastAsia" w:ascii="仿宋_GB2312" w:hAnsi="宋体" w:eastAsia="仿宋_GB2312"/>
                <w:b/>
                <w:sz w:val="24"/>
                <w:szCs w:val="24"/>
              </w:rPr>
              <w:t>（牵头单位：区城市管理和综合执法局）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已对西园社区、华园社区、五福社区及育德社区内道路、人行道进行维修，共修复约2.1万平方米；已对东华路、院士路、丰乐路等路段灯饰进行更换，确保主干道装灯率达100%。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计划投入1.36亿元推动城市“四化”持续升级，完成东华路亮化、港口路照明提升等6项工程，加快蓬江大桥桥体粉刷等3个项目推进。</w:t>
            </w:r>
            <w:r>
              <w:rPr>
                <w:rFonts w:hint="eastAsia" w:ascii="仿宋_GB2312" w:hAnsi="宋体" w:eastAsia="仿宋_GB2312"/>
                <w:b/>
                <w:sz w:val="24"/>
                <w:szCs w:val="24"/>
              </w:rPr>
              <w:t>（牵头单位：区城市管理和综合执法局）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1.已于春节前完成节前“四化”工作；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ascii="仿宋_GB2312" w:hAnsi="黑体" w:eastAsia="仿宋_GB2312" w:cs="Times New Roman"/>
                <w:sz w:val="24"/>
                <w:szCs w:val="24"/>
                <w:lang w:eastAsia="zh-CN"/>
              </w:rPr>
              <w:t>截至</w:t>
            </w:r>
            <w:r>
              <w:rPr>
                <w:rFonts w:hint="eastAsia" w:ascii="仿宋_GB2312" w:hAnsi="黑体" w:eastAsia="仿宋_GB2312" w:cs="Times New Roman"/>
                <w:sz w:val="24"/>
                <w:szCs w:val="24"/>
              </w:rPr>
              <w:t>3月底，基本完成院士路两侧的户外广告和招牌提质，现正对广场东路进行整改；共完成城心轴线示范区户外广告提升项目总工程量的60%；</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3.蓬江大桥已完成工程可行性研究报告和初步设计，正在征求各部门意见；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4.东华路已完成道路两侧庭院灯、中央绿化带等照明、灯灯饰设施安装正在做两侧人行道基础，拆除旧路灯及旧电缆；</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5.东华路、丰乐路、发展大道绿化提升项目已进入立项阶段。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完善城市管理机制，在老城区、新城区分别搞几个可推动、可复制的城市管理试点，建立城市管理监督考评机制，抓好市容市貌管理。</w:t>
            </w:r>
            <w:r>
              <w:rPr>
                <w:rFonts w:hint="eastAsia" w:ascii="仿宋_GB2312" w:hAnsi="宋体" w:eastAsia="仿宋_GB2312"/>
                <w:b/>
                <w:sz w:val="24"/>
                <w:szCs w:val="24"/>
              </w:rPr>
              <w:t>（牵头单位：区城市管理和综合执法局）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正组织开展各镇（街）的调研摸底工作，并拟定详细考核方案。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加快老旧城区更新改造，重点推进连片三旧改造项目，加大城中村改造力度。</w:t>
            </w:r>
            <w:r>
              <w:rPr>
                <w:rFonts w:hint="eastAsia" w:ascii="仿宋_GB2312" w:hAnsi="宋体" w:eastAsia="仿宋_GB2312"/>
                <w:b/>
                <w:sz w:val="24"/>
                <w:szCs w:val="24"/>
              </w:rPr>
              <w:t>（牵头单位：区自然资源局）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1.已制定蓬江区“三旧”改造三年滚动计划表（内含城中村）并已报市三旧办。</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2.其他在建城中村项目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（1）环市街东风胜利北启动区B地块已完成工程桩、围堰桩、天面层面捣砼、天面机房顶层砼、二次结构、外墙贴砖4轴、和一至十三层内墙抹灰。</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（2）环市街里村旧村改造启动区3号地B地块已供地，准备动工建设。</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（3）白沙街紫莱旧村改造：首期项目胜坚紫悦（A区）部分已竣工验收。</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（4）白沙街水南六里一期改造项目:已建肉菜市场，地下车库正在施工。</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（5）白沙街水南南华旧村改造项目已实施清拆,正在办理供地手续。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打通交通微循环，新增城区公共停车位1000个。</w:t>
            </w:r>
            <w:r>
              <w:rPr>
                <w:rFonts w:hint="eastAsia" w:ascii="仿宋_GB2312" w:hAnsi="宋体" w:eastAsia="仿宋_GB2312"/>
                <w:b/>
                <w:sz w:val="24"/>
                <w:szCs w:val="24"/>
              </w:rPr>
              <w:t>（牵头单位：区城市管理和综合执法局）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截至3月底，已完成200个停车位的建设工作。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深入落实“厕所革命”，新建和升级改造38座城市公厕。</w:t>
            </w:r>
            <w:r>
              <w:rPr>
                <w:rFonts w:hint="eastAsia" w:ascii="仿宋_GB2312" w:hAnsi="宋体" w:eastAsia="仿宋_GB2312"/>
                <w:b/>
                <w:sz w:val="24"/>
                <w:szCs w:val="24"/>
              </w:rPr>
              <w:t>（牵头单位：区环卫局）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区环卫局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二期厕所改造工程现有9座正在施工，其中7座处于拆旧阶段，2座正在砌墙和批灰。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1"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扎实推进黑臭水体治理及河长制（湖长制）工作。</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区委办、区政府办公室</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区卫生健康局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区公安分局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Merge w:val="restart"/>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1.已于3月召开全区总河长会议。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2.已完成国家、省考核河长制的迎检准备工作，资料已提交至江门市河长办。</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3.已建立“第三方”河道巡查整改机制，累计巡查次数305次。</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完成新发现黑臭水体“一河一策”整治方案的拟稿工作，正分别开展“6个一”制度建设；区新增的3条黑臭水体整体已纳入新黑臭水体治理EPC+O项目，项目概念方案已完成，正在开展可行性研究报告编制；新黑臭水体治理EPC+O项目应急方案设计方案已基本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区委宣传部在《江门日报》蓬江新闻版开设“蓬江美丽乡村建设”专栏，围绕黑臭水体整治以及河长制推出系列报道；同时，运用蓬江发布、蓬江视界、行走蓬江、蓬江之声等宣传平台及时报道黑臭水体整治以及河长制工作的最新动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区委宣传部</w:t>
            </w:r>
          </w:p>
        </w:tc>
        <w:tc>
          <w:tcPr>
            <w:tcW w:w="7187" w:type="dxa"/>
            <w:vMerge w:val="continue"/>
            <w:vAlign w:val="center"/>
          </w:tcPr>
          <w:p>
            <w:pPr>
              <w:spacing w:line="300" w:lineRule="exact"/>
              <w:ind w:firstLine="480" w:firstLineChars="200"/>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深入推进畜禽污染整治。</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印发《关于印发&lt;江门市蓬江区畜禽养殖区域巡查制度(试行)&gt;的通知》，督促镇街加强对属地养殖区域的巡查，防止禁养区内生猪养殖活动死灰复燃;结合蓬江实际，对2019年全区畜禽养殖废弃物资源化利用工作作出部署，要求各镇街按照全区统一部署，要结合全域牲畜禁养进一步提升畜禽粪污综合利用率及督促规模养殖场完成粪污处理设施装备配套；截至3月底，全区畜禽粪污综合利用率达到67.69%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力促棠下镇成功创建“国家卫生镇”，确保杜阮镇、潮连街通过“国家卫生镇”复审，力争创建省、市级卫生村29条。</w:t>
            </w:r>
            <w:r>
              <w:rPr>
                <w:rFonts w:hint="eastAsia" w:ascii="仿宋_GB2312" w:hAnsi="宋体" w:eastAsia="仿宋_GB2312"/>
                <w:b/>
                <w:sz w:val="24"/>
                <w:szCs w:val="24"/>
              </w:rPr>
              <w:t>（牵头单位：区卫生健康局）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区卫生健康局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1.棠下镇创建国家卫生镇,杜阮镇、潮连街国家卫生镇复审等材料已于2019年2月底完成申报,迎检资料已完成。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2.完成4月份省复审现场迎检工作。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3.定期开展国家卫生镇工作巡查并落实通报督导整改工作。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加快发展富民兴村特色产业，进一步深化特色小镇、凉瓜小镇田园综合体及市级农业现代产业园建设工作，确保棠下镇、杜阮镇创建乡村振兴综合改革试点示范镇取得阶段性成果。</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区环卫局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区文明办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杜阮镇</w:t>
            </w:r>
          </w:p>
        </w:tc>
        <w:tc>
          <w:tcPr>
            <w:tcW w:w="7187" w:type="dxa"/>
            <w:vAlign w:val="center"/>
          </w:tcPr>
          <w:p>
            <w:pPr>
              <w:spacing w:line="30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1.已明确市级农业产业园将依托杜阮凉瓜田园综合体建设，打造以杜阮凉瓜为主导产品的现代产业园区。</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rPr>
              <w:t xml:space="preserve"> </w:t>
            </w:r>
            <w:r>
              <w:rPr>
                <w:rFonts w:hint="eastAsia" w:ascii="仿宋_GB2312" w:hAnsi="黑体" w:eastAsia="仿宋_GB2312" w:cs="Times New Roman"/>
                <w:sz w:val="24"/>
                <w:szCs w:val="24"/>
              </w:rPr>
              <w:t>《江门市蓬江区推进乡村振兴综合改革试点创建市级城乡融合发展先行区实施方案》已印发并实施。</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3.杜阮镇已委托广东华远国土工程有限公司编制实施方案，预计3月中下旬完成方案编制，待方案确定后上报区政府，由区政府上报市政府审定后再实施。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加快补齐农村基础设施和公共服务短板，扎实推进“四好农村路”示范县（区）创建工作。</w:t>
            </w:r>
            <w:r>
              <w:rPr>
                <w:rFonts w:hint="eastAsia" w:ascii="仿宋_GB2312" w:hAnsi="宋体" w:eastAsia="仿宋_GB2312"/>
                <w:b/>
                <w:sz w:val="24"/>
                <w:szCs w:val="24"/>
              </w:rPr>
              <w:t>（牵头单位：区住房城乡建设局）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区司法局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荷塘镇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杜阮镇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潮连街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1.示范路乐公线、棠良线、杜叱线已建成，成为当地一道美丽的风景线。</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2.各镇、街的道路绿化项目及村道道路维修项目已完工。</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3.辖区内所有自然村均已通达公路。</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4.东堤路正在进行水泥主线混凝土路面板860米半幅施工，旧路修补1200平方米，绿化工程及交通安全设施施工工作。</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5.棠下镇、杜阮镇的路面硬底化项目及荷塘镇的三坊桥正在大力建设推进中。</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6.已于3月底向市交通运输局报送了《关于上报蓬江区创建“四好农村路”示范县申报材料的报告》及《广东省创建“四好农村路”示范县申报表》。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1147" w:type="dxa"/>
            <w:gridSpan w:val="2"/>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大力推进防洪排涝基础设施建设</w:t>
            </w:r>
          </w:p>
        </w:tc>
        <w:tc>
          <w:tcPr>
            <w:tcW w:w="2268" w:type="dxa"/>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推进农村防洪排涝基础设施建设。</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南冲电排站项目已完成立项，已统筹纳入新黑臭水体治理EPC+O项目，正在开展项目前期工作。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1147" w:type="dxa"/>
            <w:gridSpan w:val="2"/>
            <w:vMerge w:val="continue"/>
            <w:vAlign w:val="center"/>
          </w:tcPr>
          <w:p>
            <w:pPr>
              <w:spacing w:line="300" w:lineRule="exact"/>
              <w:rPr>
                <w:rFonts w:ascii="仿宋_GB2312" w:hAnsi="宋体" w:eastAsia="仿宋_GB2312"/>
                <w:sz w:val="24"/>
                <w:szCs w:val="24"/>
              </w:rPr>
            </w:pPr>
          </w:p>
        </w:tc>
        <w:tc>
          <w:tcPr>
            <w:tcW w:w="2268" w:type="dxa"/>
            <w:vAlign w:val="center"/>
          </w:tcPr>
          <w:p>
            <w:pPr>
              <w:spacing w:line="300" w:lineRule="exact"/>
              <w:rPr>
                <w:rFonts w:ascii="仿宋_GB2312" w:hAnsi="宋体" w:eastAsia="仿宋_GB2312"/>
                <w:b/>
                <w:sz w:val="24"/>
                <w:szCs w:val="24"/>
              </w:rPr>
            </w:pPr>
            <w:r>
              <w:rPr>
                <w:rFonts w:hint="eastAsia" w:ascii="仿宋_GB2312" w:hAnsi="宋体" w:eastAsia="仿宋_GB2312"/>
                <w:sz w:val="24"/>
                <w:szCs w:val="24"/>
              </w:rPr>
              <w:t>推进城市防洪排涝基础设施建设。</w:t>
            </w:r>
            <w:r>
              <w:rPr>
                <w:rFonts w:hint="eastAsia" w:ascii="仿宋_GB2312" w:hAnsi="宋体" w:eastAsia="仿宋_GB2312"/>
                <w:b/>
                <w:sz w:val="24"/>
                <w:szCs w:val="24"/>
              </w:rPr>
              <w:t>（牵头单位：区城市管理和综合执法局）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现正落实泵房选址，修改初步设计方案。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开展村村通自来水工程。</w:t>
            </w:r>
            <w:r>
              <w:rPr>
                <w:rFonts w:hint="eastAsia" w:ascii="仿宋_GB2312" w:hAnsi="宋体" w:eastAsia="仿宋_GB2312"/>
                <w:b/>
                <w:sz w:val="24"/>
                <w:szCs w:val="24"/>
              </w:rPr>
              <w:t>（牵头单位：棠下镇）</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1.中心村干管已经完成施工。</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2.良溪行政村的自来水干管工程已于3月30日已进场施工，首期工程为兴隆路工程。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扎实推进生态宜居美丽乡村示范创建工作，打造7个农村人居环境整治示范村，3个市级乡村振兴示范村，新建和升级改造12座村改居公厕。</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区城市管理和综合执法局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区环卫局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区文明办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区爱卫办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 4个区级示范村基本完成美丽乡村品质提升规划（初稿），并计划按规定对工程开展承发包。</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2.制定特色精品村及美丽宜居村的验收标准，即“八个最优”和“五个一”，并确定具体创建名单，明确各具体任务、时间节点及指导单位。</w:t>
            </w:r>
          </w:p>
          <w:p>
            <w:pPr>
              <w:spacing w:line="300" w:lineRule="exact"/>
              <w:ind w:firstLine="480" w:firstLineChars="200"/>
              <w:rPr>
                <w:rFonts w:ascii="仿宋_GB2312" w:hAnsi="仿宋_GB2312" w:eastAsia="仿宋_GB2312" w:cs="仿宋_GB2312"/>
                <w:sz w:val="24"/>
                <w:szCs w:val="24"/>
              </w:rPr>
            </w:pPr>
            <w:r>
              <w:rPr>
                <w:rFonts w:hint="eastAsia" w:ascii="仿宋_GB2312" w:hAnsi="黑体" w:eastAsia="仿宋_GB2312" w:cs="Times New Roman"/>
                <w:sz w:val="24"/>
                <w:szCs w:val="24"/>
              </w:rPr>
              <w:t>3.已形成挂点结对工作机制，建立起区四套领导班子成员一人抓一个示范点、区直部门结对一个村（居）、各镇街领导班子、驻村工作组挂点辖区村（居）的工作挂点机制</w:t>
            </w:r>
            <w:r>
              <w:rPr>
                <w:rFonts w:hint="eastAsia" w:ascii="仿宋_GB2312" w:hAnsi="仿宋_GB2312" w:eastAsia="仿宋_GB2312" w:cs="仿宋_GB2312"/>
                <w:sz w:val="24"/>
                <w:szCs w:val="24"/>
              </w:rPr>
              <w:t>。</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4.已完成 12座村改居公厕建设工作。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6"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推进现代农业经营主体培育工程，培育省级重点农业龙头企业1家、市级农民专业合作示范社1家、新型职业农民110名。</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区税务局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1.已组织江门市植保有限公司申报省级重点农业龙头企业；已组织汇润农民合作社申报江门市农民专业合作社；</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2.组织已被市认定的新型职业农民积极参加广东十大杰出新型职业农民评选活动。</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3.已通过公开遴选、组织市级专家评审的形式，确定承担区新型职业农民培育的培训机构为广州上善培训机构有限公司。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增强土地资源开发和利用效率，建设区、镇两级农村产权流转服务平台。</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13个新修订的农村集体“三资”管理制度或指导意见已报区委区政府审定。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持续壮大村级经济，鼓励、引导集体经济组织通过自建物业、与国资合作共建物业等多种形式增加收入。</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已向各镇、街下发《关于开展2018年村级物业建设项目财政扶持申报工作的通知》，组织各村（经联社）做好村级集体出租物业建设财政补贴申报工作。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推进教育集团扩容提质，建立完善教育集团运行机制。</w:t>
            </w:r>
            <w:r>
              <w:rPr>
                <w:rFonts w:hint="eastAsia" w:ascii="仿宋_GB2312" w:hAnsi="宋体" w:eastAsia="仿宋_GB2312"/>
                <w:b/>
                <w:sz w:val="24"/>
                <w:szCs w:val="24"/>
              </w:rPr>
              <w:t>（牵头单位：区教育局）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区教育局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区科工商务局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区委编办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6大教育集团已完成属下成员学校的挂牌工作，并建立集团章程，开展正常的运作。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继续推进“县管校聘”，促进区域教师队伍优质均衡配置。</w:t>
            </w:r>
            <w:r>
              <w:rPr>
                <w:rFonts w:hint="eastAsia" w:ascii="仿宋_GB2312" w:hAnsi="宋体" w:eastAsia="仿宋_GB2312"/>
                <w:b/>
                <w:sz w:val="24"/>
                <w:szCs w:val="24"/>
              </w:rPr>
              <w:t>（牵头单位：区教育局）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区教育局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区委编办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现正收集各学校“在教师‘县管校聘’管理下，学校在做好教师管理、考核和退出岗位方面的设想和目标”等的意见或建议。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继续完善创文常态化成效机制，确保完成创文年度测评检查。</w:t>
            </w:r>
            <w:r>
              <w:rPr>
                <w:rFonts w:hint="eastAsia" w:ascii="仿宋_GB2312" w:hAnsi="宋体" w:eastAsia="仿宋_GB2312"/>
                <w:b/>
                <w:sz w:val="24"/>
                <w:szCs w:val="24"/>
              </w:rPr>
              <w:t>（牵头单位：区文明办）</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区文明办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1.已制订2019-2021年蓬江区创文常态化工作方案，组织开展常态化创文督导工作，增加制作爱心雨伞和雨伞岗，深入推进文明城市创建工作。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2.已更新蓬江好人广场的“最美蓬江人”事迹展示，编撰《最美蓬江人》图书，开展一季度“蓬江好人”推荐评选活动。</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3.已开展乡村少年宫春季班活动，推荐潮连街中心学校参评江门市乡村学校少年宫建设项目。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4.已开展文明单位、文明校园复查和申报测评工作，并对辖区各镇、村文明村镇创建工作开展年度测评。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增加优质学位供给，基本建成里仁小学，启动和推进范罗冈小学滨江校区二期教学楼、棠下中学综合楼、江门市实验中学扩建工程、蓬江区特殊教育学校的建设工作。</w:t>
            </w:r>
            <w:r>
              <w:rPr>
                <w:rFonts w:hint="eastAsia" w:ascii="仿宋_GB2312" w:hAnsi="宋体" w:eastAsia="仿宋_GB2312"/>
                <w:b/>
                <w:sz w:val="24"/>
                <w:szCs w:val="24"/>
              </w:rPr>
              <w:t>（牵头单位：区教育局）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区教育局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区委编办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滨江新区管委会</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环市街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里仁小学：</w:t>
            </w:r>
            <w:r>
              <w:rPr>
                <w:rFonts w:hint="eastAsia" w:ascii="仿宋_GB2312" w:hAnsi="黑体" w:eastAsia="仿宋_GB2312" w:cs="Times New Roman"/>
                <w:sz w:val="24"/>
                <w:szCs w:val="24"/>
              </w:rPr>
              <w:t>土方平整开挖工作基本完成，桩机已进场施工，正在进行桩基工程。</w:t>
            </w:r>
          </w:p>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范罗冈小学滨江校区二期：</w:t>
            </w:r>
            <w:r>
              <w:rPr>
                <w:rFonts w:hint="eastAsia" w:ascii="仿宋_GB2312" w:hAnsi="黑体" w:eastAsia="仿宋_GB2312" w:cs="Times New Roman"/>
                <w:sz w:val="24"/>
                <w:szCs w:val="24"/>
              </w:rPr>
              <w:t>已编制项目可行性研究报告，工程立项已经区发改局审核批复，已选定由江门市建筑设计院作为设计单位，基本完成规划总平面设计方案。</w:t>
            </w:r>
          </w:p>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棠下中学综合楼：</w:t>
            </w:r>
            <w:r>
              <w:rPr>
                <w:rFonts w:hint="eastAsia" w:ascii="仿宋_GB2312" w:hAnsi="黑体" w:eastAsia="仿宋_GB2312" w:cs="Times New Roman"/>
                <w:sz w:val="24"/>
                <w:szCs w:val="24"/>
              </w:rPr>
              <w:t xml:space="preserve">已编制项目可行性研究报告，工程立项已完成，规划总平面设计图已公示完毕，单体规划设计方案已送规划部门。学校场地勘探工作已完成现场钻探，施工图设计同步进行中。 </w:t>
            </w:r>
          </w:p>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江门市实验中学扩建工程：</w:t>
            </w:r>
            <w:r>
              <w:rPr>
                <w:rFonts w:hint="eastAsia" w:ascii="仿宋_GB2312" w:hAnsi="黑体" w:eastAsia="仿宋_GB2312" w:cs="Times New Roman"/>
                <w:sz w:val="24"/>
                <w:szCs w:val="24"/>
              </w:rPr>
              <w:t>运动场建设用地18.3亩(现实际为19.15亩)已完成土地收储，已完成“项目选址意见书”、“建设用地规划许可证”、“用地预审工作”及“项目立项”等的办理。国土测量队已测量出具“宗地图”，相关资料已送交市自然资源局，运动场平面方案已送市规划部门，详细施工图已基本完成。</w:t>
            </w:r>
          </w:p>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蓬江区特殊教育学校的建设：</w:t>
            </w:r>
            <w:r>
              <w:rPr>
                <w:rFonts w:hint="eastAsia" w:ascii="仿宋_GB2312" w:hAnsi="黑体" w:eastAsia="仿宋_GB2312" w:cs="Times New Roman"/>
                <w:sz w:val="24"/>
                <w:szCs w:val="24"/>
              </w:rPr>
              <w:t>项目进入整体规划设计阶段，由长宇（珠海）国际建筑设计有限公司进行设计工作；拟从区内学校教师中确定了14名候选名单组建师资队伍，等待最终选定；学校机构设立申办正由区教育局与区编办沟通协调中。经研究，特殊学校改造工作分两个阶段进行，第一阶段装修改造工程设计方案已基本完成，将出具施工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继续引进优质民办教育，探索民办教育多元合作办学和投资新机制。力争广东实验中学附属江门学校尽快动工。</w:t>
            </w:r>
            <w:r>
              <w:rPr>
                <w:rFonts w:hint="eastAsia" w:ascii="仿宋_GB2312" w:hAnsi="宋体" w:eastAsia="仿宋_GB2312"/>
                <w:b/>
                <w:sz w:val="24"/>
                <w:szCs w:val="24"/>
              </w:rPr>
              <w:t>（牵头单位：区教育局）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区教育局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已完成广东实验中学附属江门用地招拍挂工作，现正报建临水、临电，已完成规划设计方案。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全力以赴做好省人民政府对市县政府履行教育职责考核迎检工作。</w:t>
            </w:r>
            <w:r>
              <w:rPr>
                <w:rFonts w:hint="eastAsia" w:ascii="仿宋_GB2312" w:hAnsi="宋体" w:eastAsia="仿宋_GB2312"/>
                <w:b/>
                <w:sz w:val="24"/>
                <w:szCs w:val="24"/>
              </w:rPr>
              <w:t>（牵头单位：区教育局）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区教育局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1.正查找存在问题，剖析产生原因，提出整改措施。</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2.已初步制订《蓬江区接受省人民政府对市县政府履行教育职责评价考核工作实施方案》。</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3.正制定考评档案目录，收集整理有关资料和收集数据。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落实市委、市政府“公共文化事业建设年”行动，以打造全省公共文化服务体系示范区为抓手，推动区、镇（街）、村（居）三级文化场馆和文明实践中心（所、站）建设，其中荷塘镇、环市街按照特级文化站标准、其他镇（街）按照一级文化站标准进行打造，进一步完善城乡十分钟文化圈。</w:t>
            </w:r>
            <w:r>
              <w:rPr>
                <w:rFonts w:hint="eastAsia" w:ascii="仿宋_GB2312" w:hAnsi="宋体" w:eastAsia="仿宋_GB2312"/>
                <w:b/>
                <w:sz w:val="24"/>
                <w:szCs w:val="24"/>
              </w:rPr>
              <w:t>（牵头单位：区文化广电旅游体育局）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区文明办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1.区图书馆已建成分馆4个，服务点9个，剩余2个分馆及9个服务点已经全部确定选点；区文化馆已建成分馆2个，服务点8个，剩余4个分馆及10个服务点已确定建设选点，部分已动工建设。 已印发《关于加快蓬江区文化馆图书馆总分馆建设进度的通知》（蓬江文广旅体发〔2019〕18号）。</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2.现正完善村（居）综合性文化服务中心设施，增设4个“村居欢乐送”示范点。</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各镇、街选定6个实践所、12个实践站试点进行重点打造。同时，结合乡村振兴实绩检查工作，对镇、村文明实践所、站建设进行实地考察和指导；区级新时代文明实践中心正在进行场地布置和宣传氛围营造，将于4月底投入使用。</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4.已对区文化中心工地进行围闭，并对设计方案进行专家论证。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提升陈白沙、陈垣、戴爱莲、良溪古村等本土文化品牌，引进国内外大型文体赛事，增强地方吸引力和知名度。</w:t>
            </w:r>
            <w:r>
              <w:rPr>
                <w:rFonts w:hint="eastAsia" w:ascii="仿宋_GB2312" w:hAnsi="宋体" w:eastAsia="仿宋_GB2312"/>
                <w:b/>
                <w:sz w:val="24"/>
                <w:szCs w:val="24"/>
              </w:rPr>
              <w:t>（牵头单位：区文化广电旅游体育局）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杜阮镇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白沙街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1.现正开展白沙文化节前期准备工作。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2.正在开展“陈垣书屋”（24小时自助图书馆）选点工作。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3.已完成2019“戴爱莲杯”人人跳全国舞蹈展演活动方案，已完成参展节目收集，已确定活动场地，已完成策划公司招标工作。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4.已完成罗氏大宗祠维修方案；正在物色具有资质的开发公司对良溪古村落进行保护开发。</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5.正密切跟进成立2019年世界排球联赛（广东</w:t>
            </w:r>
            <w:r>
              <w:rPr>
                <w:rFonts w:hint="eastAsia" w:ascii="宋体" w:hAnsi="宋体" w:cs="宋体"/>
                <w:sz w:val="24"/>
                <w:szCs w:val="24"/>
              </w:rPr>
              <w:t>•</w:t>
            </w:r>
            <w:r>
              <w:rPr>
                <w:rFonts w:hint="eastAsia" w:ascii="仿宋_GB2312" w:hAnsi="仿宋_GB2312" w:eastAsia="仿宋_GB2312" w:cs="仿宋_GB2312"/>
                <w:sz w:val="24"/>
                <w:szCs w:val="24"/>
              </w:rPr>
              <w:t>江门）赛区</w:t>
            </w:r>
            <w:r>
              <w:rPr>
                <w:rFonts w:hint="eastAsia" w:ascii="仿宋_GB2312" w:hAnsi="黑体" w:eastAsia="仿宋_GB2312" w:cs="Times New Roman"/>
                <w:sz w:val="24"/>
                <w:szCs w:val="24"/>
              </w:rPr>
              <w:t>组委会工作。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办好红色文化大讲堂，打造具有蓬江特色的政治理论学习品牌。</w:t>
            </w:r>
            <w:r>
              <w:rPr>
                <w:rFonts w:hint="eastAsia" w:ascii="仿宋_GB2312" w:hAnsi="宋体" w:eastAsia="仿宋_GB2312"/>
                <w:b/>
                <w:sz w:val="24"/>
                <w:szCs w:val="24"/>
              </w:rPr>
              <w:t>（牵头单位：区委宣传部）</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区委宣传部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各级党委（党组）</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1.已于</w:t>
            </w:r>
            <w:r>
              <w:rPr>
                <w:rFonts w:hint="eastAsia"/>
              </w:rPr>
              <w:t xml:space="preserve"> </w:t>
            </w:r>
            <w:r>
              <w:rPr>
                <w:rFonts w:hint="eastAsia" w:ascii="仿宋_GB2312" w:hAnsi="黑体" w:eastAsia="仿宋_GB2312" w:cs="Times New Roman"/>
                <w:sz w:val="24"/>
                <w:szCs w:val="24"/>
              </w:rPr>
              <w:t>1月10日举办区委理论学习中心组（扩大）学习会暨红色文化大讲堂（第一期），开讲“发扬优良传统，传承红色基因”，并作为区委理论学习中心组2019年第一季度学习内容。</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2.已联合江门电视台制作红色文化大讲堂视频资料，目前正在制作阶段。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加快推进市档案中心建设。</w:t>
            </w:r>
            <w:r>
              <w:rPr>
                <w:rFonts w:hint="eastAsia" w:ascii="仿宋_GB2312" w:hAnsi="宋体" w:eastAsia="仿宋_GB2312"/>
                <w:b/>
                <w:sz w:val="24"/>
                <w:szCs w:val="24"/>
              </w:rPr>
              <w:t>（牵头单位：区国有资产监督管理局）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区建管中心</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1.江门市档案中心项目现场已用安全围挡封闭，地表杂草树木清理完毕，土地平整已完成50%；鱼塘排水工作已完成，待干燥后开展平整工作。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2.临建工程方案已确定，待建筑平面图确定后开始进场施工；勘察机械已组装完毕。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配合市推动五邑华侨华人博物馆创建成为国家一级博物馆。</w:t>
            </w:r>
            <w:r>
              <w:rPr>
                <w:rFonts w:hint="eastAsia" w:ascii="仿宋_GB2312" w:hAnsi="宋体" w:eastAsia="仿宋_GB2312"/>
                <w:b/>
                <w:sz w:val="24"/>
                <w:szCs w:val="24"/>
              </w:rPr>
              <w:t>（牵头单位：区文化广电旅游体育局）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区文化广电旅游体育局</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现正配合市博物馆做好相关准备工作。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8"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深化医药卫生体制改革，进一步完善分级诊疗制度，做实家庭医生签约服务。</w:t>
            </w:r>
            <w:r>
              <w:rPr>
                <w:rFonts w:hint="eastAsia" w:ascii="仿宋_GB2312" w:hAnsi="宋体" w:eastAsia="仿宋_GB2312"/>
                <w:b/>
                <w:sz w:val="24"/>
                <w:szCs w:val="24"/>
              </w:rPr>
              <w:t>（牵头单位：区卫生健康局）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区卫生健康局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区民政局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区残联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区扶贫办</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根据市的统一部署，组织全区5间公立医疗机构于2019年1月1日起落实了取消医用耗材加成，同步进行了医疗服务价格调整。已制定《江门市蓬江区公立医疗机构医疗服务价格调整社会稳定风险应急处置工作预案》（蓬江医改办〔2019〕1号），成立了应急处置协调工作组。</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2.正组织遴选专家进入江门市医疗机构药事管理专家库；按照市有关文件要求，落实药品跨区域联合集中采购，区有关公立医疗机构已开始通过该平台进行采购。</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w:t>
            </w:r>
            <w:r>
              <w:rPr>
                <w:rFonts w:hint="eastAsia"/>
              </w:rPr>
              <w:t>已</w:t>
            </w:r>
            <w:r>
              <w:rPr>
                <w:rFonts w:hint="eastAsia" w:ascii="仿宋_GB2312" w:hAnsi="黑体" w:eastAsia="仿宋_GB2312" w:cs="Times New Roman"/>
                <w:sz w:val="24"/>
                <w:szCs w:val="24"/>
              </w:rPr>
              <w:t>成立蓬江区医疗联合体综合绩效考核评价工作小组，全面落实相关工作；继续推进分级诊疗建设，截至3月底，医联体内上转117人次，下转79人次，总院共下派31名专家到分院进行技术帮扶；杜阮镇卫生院及其总院市二医院已完成医联体法人统一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4.已根据《江门市人民政府关于印发&lt;江门市深化公立医院综合改革行动方案&gt;的通知》，研究制定区级实施方案。</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5.已制定《印发江门市蓬江区2019年基层卫生工作要点的通知》（蓬江卫〔2019〕29号），截至3月底全区残疾人签约率87.22%。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bCs/>
                <w:sz w:val="24"/>
                <w:szCs w:val="24"/>
              </w:rPr>
              <w:t>推进市二院建设养老中心建设，探索政府和市场合作试点的医养结合模式，鼓励社会力量兴办医养结合机构，谋划一批养老项目建设。</w:t>
            </w:r>
            <w:r>
              <w:rPr>
                <w:rFonts w:hint="eastAsia" w:ascii="仿宋_GB2312" w:hAnsi="宋体" w:eastAsia="仿宋_GB2312"/>
                <w:b/>
                <w:sz w:val="24"/>
                <w:szCs w:val="24"/>
              </w:rPr>
              <w:t>（牵头单位：区卫生健康局）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区卫生健康局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区民政局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区住房城乡建设局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区国有资产监管局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w:t>
            </w:r>
            <w:r>
              <w:rPr>
                <w:rFonts w:hint="eastAsia" w:ascii="仿宋_GB2312" w:eastAsia="仿宋_GB2312"/>
                <w:sz w:val="24"/>
                <w:szCs w:val="24"/>
              </w:rPr>
              <w:t>已</w:t>
            </w:r>
            <w:r>
              <w:rPr>
                <w:rFonts w:hint="eastAsia" w:ascii="仿宋_GB2312" w:hAnsi="黑体" w:eastAsia="仿宋_GB2312" w:cs="Times New Roman"/>
                <w:sz w:val="24"/>
                <w:szCs w:val="24"/>
              </w:rPr>
              <w:t>到新会星光园养老中心调研医养结合工作，协调新会新希望医疗集团到市二医院研讨医疗、养老等可合作项目。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区民政局联合消防等部门到杜阮镇颐养院开展调研，通过一事一议的模式解决养老院消防决审验历史遗留问题，力争该院在消防达标的情况下进行改、扩、建设成为江门蓬江安老养老医院，同时推进“医养结合”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财政安排民生支出27.32亿元，占财政支出的67.73%，重点推进一批民生实事。</w:t>
            </w:r>
            <w:r>
              <w:rPr>
                <w:rFonts w:hint="eastAsia" w:ascii="仿宋_GB2312" w:hAnsi="宋体" w:eastAsia="仿宋_GB2312"/>
                <w:b/>
                <w:sz w:val="24"/>
                <w:szCs w:val="24"/>
              </w:rPr>
              <w:t>（牵头单位：区财政局）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郑丹辉</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一季度民生支出70243万元，占一般公共预算总支出的69.23%。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坚决打好精准脱贫攻坚战，推进扶贫线与低保线“两线合一”，基本建立起常态化、全覆盖的城乡扶贫长效机制。</w:t>
            </w:r>
            <w:r>
              <w:rPr>
                <w:rFonts w:hint="eastAsia" w:ascii="仿宋_GB2312" w:hAnsi="宋体" w:eastAsia="仿宋_GB2312"/>
                <w:b/>
                <w:sz w:val="24"/>
                <w:szCs w:val="24"/>
              </w:rPr>
              <w:t>（牵头单位：区扶贫办）</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区扶贫办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区民政局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起草《关于江门市蓬江区推动扶贫线与低保线“两线合一”改革试点工作的实施方案》、《江门市蓬江区关于推进扶贫线与低保线“两线合一”长效帮扶机制三年扶贫行动方案（2018- 2020年）》，正在征求意见阶段。</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2.增加帮扶对象的医疗保障，支付28.56万元作为952名2016-2018年精准扶贫帮扶对象购买商业重大疾病保险。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落实对口扶贫协作“携手奔小康”行动，推动广西天等县脱贫摘帽。</w:t>
            </w:r>
            <w:r>
              <w:rPr>
                <w:rFonts w:hint="eastAsia" w:ascii="仿宋_GB2312" w:hAnsi="宋体" w:eastAsia="仿宋_GB2312"/>
                <w:b/>
                <w:sz w:val="24"/>
                <w:szCs w:val="24"/>
              </w:rPr>
              <w:t>（牵头单位：区扶贫办）</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李达成</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区扶贫办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杜阮镇</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1.蓬江区驻天等工作组已与天等县扶贫办协商，共同制订2019年帮扶项目；已落实蓬江区驻天等工作组工作经费50万元，确保蓬江区驻天等工作组顺利开展工作。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2.区人社局、区扶贫办已于1月28-30日到天等县商天等人社局、天等扶贫办共同研究开展“粤菜师傅”培训工作计划，初步达成培训合作意见。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3.已于3月30-31联合天等县在五邑华侨广场会展中心举办天等县名优特农产品展销既旅游推介会。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促进就业和再就业工作，城镇登记失业率控制在3.2%以内。</w:t>
            </w:r>
            <w:r>
              <w:rPr>
                <w:rFonts w:hint="eastAsia" w:ascii="仿宋_GB2312" w:hAnsi="宋体" w:eastAsia="仿宋_GB2312"/>
                <w:b/>
                <w:sz w:val="24"/>
                <w:szCs w:val="24"/>
              </w:rPr>
              <w:t>（牵头单位：区人力资源社会保障局）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区人力资源社会保障局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结合“省促进就业九条”和“市促进就业九条”新政，推进城乡公共就业创业服务均等化。截至3月底，区城镇新增就业2214人，失业人员实现再就业1215人，就业困难人员实现就业91人，实现创业267人，分别完成目标任务的25.16%、24.3%、21.67%、25.19%，城镇登记失业率为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力促杜阮镇卫生院新门诊楼投入使用。</w:t>
            </w:r>
            <w:r>
              <w:rPr>
                <w:rFonts w:hint="eastAsia" w:ascii="仿宋_GB2312" w:hAnsi="宋体" w:eastAsia="仿宋_GB2312"/>
                <w:b/>
                <w:sz w:val="24"/>
                <w:szCs w:val="24"/>
              </w:rPr>
              <w:t>（牵头单位：杜阮镇）</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杜阮镇</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杜阮镇卫生院门诊楼工程占地750平方米,建设楼高共4层，建筑面积2031平方米，停车场2068平方米，项目总投资约815万元。其中，门诊楼建筑工程造价为633万元，已基本完成门诊楼各项工程建设，已支付工程款412万元，已完成绿化、氧气管道工程。预计5月底可完成消防验收和规划验收，6月底前可完成设备安装调试、信息中心升级改造和综合验收，并正式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加快棠下镇卫生院新住院大楼主体工程建设。</w:t>
            </w:r>
            <w:r>
              <w:rPr>
                <w:rFonts w:hint="eastAsia" w:ascii="仿宋_GB2312" w:hAnsi="宋体" w:eastAsia="仿宋_GB2312"/>
                <w:b/>
                <w:sz w:val="24"/>
                <w:szCs w:val="24"/>
              </w:rPr>
              <w:t>（牵头单位：棠下镇）</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已完成框架二层楼面结构施工。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1"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加快“益食堂”设点工作，做到助餐服务镇街层面100%覆盖。</w:t>
            </w:r>
            <w:r>
              <w:rPr>
                <w:rFonts w:hint="eastAsia" w:ascii="仿宋_GB2312" w:hAnsi="宋体" w:eastAsia="仿宋_GB2312"/>
                <w:b/>
                <w:sz w:val="24"/>
                <w:szCs w:val="24"/>
              </w:rPr>
              <w:t>（牵头单位：区民政局）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黄文坚</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区民政局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蓬江区长者饭堂“益食堂”项目计划方案已通过文件方式征询镇街的意见，现正呈区府办并按照《转发&lt;关于印发江门市2018年政府集中采购目录及限额标准的通知&gt;》（蓬江财监〔2018〕19号）有关规定和程序，委托具有相应资质的社会招标代理机构进行代理采购。已于3月28日召开机构动员会议，项目标书正在草拟中，招标工作已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6"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配合市创建省食品安全示范城市，加大非洲猪瘟防控力度，确保区内800人以上集体食堂100%实现“明厨亮灶”。</w:t>
            </w:r>
            <w:r>
              <w:rPr>
                <w:rFonts w:hint="eastAsia" w:ascii="仿宋_GB2312" w:hAnsi="宋体" w:eastAsia="仿宋_GB2312"/>
                <w:b/>
                <w:sz w:val="24"/>
                <w:szCs w:val="24"/>
              </w:rPr>
              <w:t>（牵头单位：区市场监管局）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区食安办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1.现正配合市直部门开展群众满意度调查；大力开展创城宣传，提高群众的知晓率和支持率；根据区创城倒逼工作方案，对十大工程牵头单位开展督查检查。</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根据江门市蓬江区防制重大动物疫病指挥部工作安排，开展非洲猪瘟防控动态工作，共检查农贸市场113家次，食用农产品销售经营者405家次，餐饮服务经营者535家次，食品销售经营者358家次，其中经营性冻库14家次。</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3.目前，辖区800人以上集体食堂共有71家（包括学校食堂62家、企业食堂9家），均已实现明厨亮灶。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加强社会治理制度建设，加大资源和数据整合力度，推进“全科网格化”和“综合指挥平台”建设，提高社会治理社会化、法治化、智能化、专业化水平。</w:t>
            </w:r>
            <w:r>
              <w:rPr>
                <w:rFonts w:hint="eastAsia" w:ascii="仿宋_GB2312" w:hAnsi="宋体" w:eastAsia="仿宋_GB2312"/>
                <w:b/>
                <w:sz w:val="24"/>
                <w:szCs w:val="24"/>
              </w:rPr>
              <w:t>（牵头单位：区委政法委）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林伟勤</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区委政法委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区公安分局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区政务服务数据管理局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区财政局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区直有关单位</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先后到浙江湖州、枫桥、杭州和深圳等地学习、了解和借鉴全科网格化和综合指挥平台的建设经验及工作机制，并到市政务服务数据管理局、区城市管理和综合执法局、棠下镇、白沙街开展综合指挥平台建设专题调研。</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2.现正结合区的实际，借鉴外地先进建设经验，制定入格事项详细清单以及工作流程图。</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根据市关于按照“一张网、五统一”（网格统一规划、资源统一整合、人员统一配备、信息统一采集、服务统一标准）的要求，综合社会治理综合指挥平台的项目，继续完善网格化的相关机制，为下一步制定指导意见打下基础。</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4.正在综合省信息系统资源，拟定各单位的信息系统、地图和视频数据对接方案。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深入推进扫黑除恶专项斗争，加大对新兴领域和农村地区涉黑涉恶违法犯罪打击力度。</w:t>
            </w:r>
            <w:r>
              <w:rPr>
                <w:rFonts w:hint="eastAsia" w:ascii="仿宋_GB2312" w:hAnsi="宋体" w:eastAsia="仿宋_GB2312"/>
                <w:b/>
                <w:sz w:val="24"/>
                <w:szCs w:val="24"/>
              </w:rPr>
              <w:t>（牵头单位：区扫黑除恶办）</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林伟勤</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区扫黑除恶办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区纪委监委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区公安分局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区司法局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区法院</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区检察院</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截至3月底，共摸排线索216条，成案135条，成案率63%。其中,涉重点领域、重点行业30条；区纪委监委组织骨干精英，挖出一批幕后“保护伞”，新增涉黑涉恶腐败和“保护伞”问题线索4条（其中,公职人员充当涉恶“保护伞”3条），立案4宗4人(其中农村基层干部涉黑恶案件1宗1人)，办结3宗3人（含去年立案1宗1人）；区纪委监委在建筑工程、环保整治领域，惩治为涉恶人员强揽工程充当“保护伞”、串投围标环保整治工程的公职人员3人；区公安分局查封、冻结、扣押涉案资产达1072.9万元，较2018年全年增长160.1；区纪委监委共打掉涉“保护伞”非法利益人民币440多万元、外币折合人民币约10多万元，占2018年全年“打财”总数的40%；已拆除环保领域、三清三拆三整治、黑丑黑臭水体治理等整改事件3起，相关单位移交公安立案9起、行政处罚3起、消除环境影响3起，荷塘镇处理5起，环市街处理3起，杜阮、潮连、白沙各处理1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highlight w:val="yellow"/>
              </w:rPr>
            </w:pPr>
            <w:r>
              <w:rPr>
                <w:rFonts w:hint="eastAsia" w:ascii="仿宋_GB2312" w:hAnsi="宋体" w:eastAsia="仿宋_GB2312"/>
                <w:sz w:val="24"/>
                <w:szCs w:val="24"/>
              </w:rPr>
              <w:t>深化平安蓬江建设，推进“智慧新警务”和“雪亮工程”，稳步铺开“党建+自治+德治+法治”基层社区治理，强化社会矛盾预防和化解，打造蓬江版“枫桥经验”样本。</w:t>
            </w:r>
            <w:r>
              <w:rPr>
                <w:rFonts w:hint="eastAsia" w:ascii="仿宋_GB2312" w:hAnsi="宋体" w:eastAsia="仿宋_GB2312"/>
                <w:b/>
                <w:sz w:val="24"/>
                <w:szCs w:val="24"/>
              </w:rPr>
              <w:t>（牵头单位：区委政法委）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林伟勤</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区委政法委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区公安分局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区直有关单位</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完成对2018年度重点治理（挂牌整治）村（居）现场考核验收工作，已启动2019年度重点治理和挂牌整治相关工作；已开展“党建+自治+德治+法治”基层社区治理工作调研，总结提炼天福社区“党建引领、三治融合”社区治理经验；蓬江区公共安全视频监控“十三五”规划建设项目36个治安卡口和360个一类点的现场复勘及校正工作已启动；已分解下达建立矛盾纠纷多元化解衔接机制工作任务，确定了重点推进方向；雪亮工程项目建设已通过会议讨论，建设专项资金已纳入年度财政预算。</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全力打好防范化解重大风险攻坚战，在春节等防护期启动等级响应机制，共开展全区性社会矛盾排查125次，提前预警并有效预防了涉问题楼盘等风险落地，成功化解了荷塘镇某食品厂欠薪案等涉及人数较多的隐患事件；围绕新中国成立70周年落实各项社会矛盾的预防和化解措施，推动责任部门加强对工资及分账管理、农村“三资”管理等领域的系统治理工作；持续督办棠下镇周郡村农村问题、环市街嘉悦名都楼盘问题攻坚工作，确保化解、稳控工作落实到位。</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3.已制定《2018年度蓬江区镇（街）综治工作（平安建设）考评标准》，并于1月完成对各镇、街的考评。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3"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260" w:lineRule="exact"/>
              <w:rPr>
                <w:rFonts w:ascii="仿宋_GB2312" w:hAnsi="宋体" w:eastAsia="仿宋_GB2312"/>
                <w:sz w:val="24"/>
                <w:szCs w:val="24"/>
              </w:rPr>
            </w:pPr>
            <w:r>
              <w:rPr>
                <w:rFonts w:hint="eastAsia" w:ascii="仿宋_GB2312" w:hAnsi="宋体" w:eastAsia="仿宋_GB2312"/>
                <w:sz w:val="24"/>
                <w:szCs w:val="24"/>
              </w:rPr>
              <w:t>组织开展好2019年江门市慈善公益主会场活动。</w:t>
            </w:r>
            <w:r>
              <w:rPr>
                <w:rFonts w:hint="eastAsia" w:ascii="仿宋_GB2312" w:hAnsi="宋体" w:eastAsia="仿宋_GB2312"/>
                <w:b/>
                <w:sz w:val="24"/>
                <w:szCs w:val="24"/>
              </w:rPr>
              <w:t>（牵头单位：区民政局）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黄文坚</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区民政局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区扶贫办</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于2018年9月草拟《蓬江区作为2019年江门市慈善公益活动主会场活动构思方案》并上报市民政局，待回复；区民政局已于2019年1月23日将《关于做好2019年江门市慈善公益活动主会场募捐工作的请示》（蓬江民字〔2019〕23号）呈区委、区政府，待回复。</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区民政局根据实际情况，主动与区扶贫办联系沟通有关工作，并于2019年3月下旬草拟《江门市蓬江区2019年扶贫济困慈善公益活动工作方案》《关于开展2018年度蓬江区慈善公益先进单位和个人推荐工作的通知》《关于收集蓬江区2019年扶贫济困慈善公益募捐推介项目和公益活动安排的通知》，现正开展前期筹备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260" w:lineRule="exact"/>
              <w:rPr>
                <w:rFonts w:ascii="仿宋_GB2312" w:hAnsi="宋体" w:eastAsia="仿宋_GB2312"/>
                <w:sz w:val="24"/>
                <w:szCs w:val="24"/>
              </w:rPr>
            </w:pPr>
            <w:r>
              <w:rPr>
                <w:rFonts w:hint="eastAsia" w:ascii="仿宋_GB2312" w:hAnsi="宋体" w:eastAsia="仿宋_GB2312"/>
                <w:sz w:val="24"/>
                <w:szCs w:val="24"/>
              </w:rPr>
              <w:t>加强、优化、统筹蓬江区应急能力建设，构建好统一领导、权责一致、权威高效的应急能力体系，大力抓好安全生产、消防管理、森林防火、水利三防、安全生产类和自然灾害类突发事件应急处置，加强三防系统标准化建设。组织协调灾害救助、防震减灾等工作。</w:t>
            </w:r>
            <w:r>
              <w:rPr>
                <w:rFonts w:hint="eastAsia" w:ascii="仿宋_GB2312" w:hAnsi="宋体" w:eastAsia="仿宋_GB2312"/>
                <w:b/>
                <w:sz w:val="24"/>
                <w:szCs w:val="24"/>
              </w:rPr>
              <w:t>（牵头单位：区应急管理局）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林伟勤</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区应急管理局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区农业农村和水利局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区消防救援大队</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区自然资源局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区发展和改革局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区委办、区政府办公室</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区安委会成员单位</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1.区应急管理局已于2月20日挂牌成立。</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2.已根据职能新组建8个工作组，并与原职能部门对接，调研掌握森林防火、三防指挥、民政救济、防震抗震职能的人、财、物情况及相关职能运行机制等。</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3.以节后复工复产安全生产工作为抓手，开展“五个一”工作检查，督促企业落实安全生产主体责任；深刻吸取江苏响水天嘉宜公司“3</w:t>
            </w:r>
            <w:r>
              <w:rPr>
                <w:rFonts w:hint="eastAsia" w:ascii="宋体" w:hAnsi="宋体" w:cs="宋体"/>
                <w:sz w:val="24"/>
                <w:szCs w:val="24"/>
              </w:rPr>
              <w:t>•</w:t>
            </w:r>
            <w:r>
              <w:rPr>
                <w:rFonts w:hint="eastAsia" w:ascii="仿宋_GB2312" w:hAnsi="黑体" w:eastAsia="仿宋_GB2312" w:cs="Times New Roman"/>
                <w:sz w:val="24"/>
                <w:szCs w:val="24"/>
              </w:rPr>
              <w:t>21”特别重大爆炸事故教训，认真贯彻落实，组织开展涉及“两重点一重大”的化工和危化品企业安全生产执法检查，共检查危化品生产、经营企业13家，整治隐患11处；完成防汛防风和清明节前森林防灭火工作，已于3月21、22日对各镇、街开展防汛防风和清明节前森林防灭火督查工作，并做好省、市督查迎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全面完成党政机构改革各项工作，深化镇、街行政管理体制改革。</w:t>
            </w:r>
            <w:r>
              <w:rPr>
                <w:rFonts w:hint="eastAsia" w:ascii="仿宋_GB2312" w:hAnsi="宋体" w:eastAsia="仿宋_GB2312"/>
                <w:b/>
                <w:sz w:val="24"/>
                <w:szCs w:val="24"/>
              </w:rPr>
              <w:t>（牵头单位：区委编办）</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区委编办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已完成。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1.区委于2月11日召开了九届九次全会，审议并印发了《江门市蓬江区机构改革方案》及相关决议，全面部署区区级机构改革工作。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2.区22个新组建党政部门于2月12日、20日先后分两批挂牌成立，新组建部门领导班子全部到位，机构改革工作取得了阶段性成果。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区委机构深改办在前期调研听取意见基础上，根据区机构设置情况，多次研究机构改革配套落实措施。2019年2月14日，区委机构深改组审议通过了《江门市蓬江区机构改革实施方案》等20多份配套改革部门职能划转、内设机构、人员编制、领导职数设置等相关文件，明确了区党政部门职责调整、人员编制配备具体意见。</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4.区委机构深改办于2月18日举办全区机构改革业务对接会议，由区委办、区委组织部、区委编办、区财政局等部门进行专题业务授课，编撰印发《蓬江区级机构改革文件汇编》共13份配套文件。</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区委机构深改办邀请区公职律师事务所2名专业律师对区直部门“三定”规定进行审查，确保“三定”规定合法合规。3月22日，根据市委机构深改组工作要求，区委机构深改组会议审议并分批印发了31个部门的“三定”规定方案和职能调整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推进承担行政职能事业单位改革和公益类事业单位改革。</w:t>
            </w:r>
            <w:r>
              <w:rPr>
                <w:rFonts w:hint="eastAsia" w:ascii="仿宋_GB2312" w:hAnsi="宋体" w:eastAsia="仿宋_GB2312"/>
                <w:b/>
                <w:sz w:val="24"/>
                <w:szCs w:val="24"/>
              </w:rPr>
              <w:t>（牵头单位：区委编办）</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区委编办</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1.已完成区直承担行政职能事业单位改革工作，根据中央和省明确对承担行政职能的事业单位要纳入市县机构改革统筹推进、同步实施，完全、主要和部分承担行政职能的事业单位，均纳入改革实施范围。</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完成区直承担行政职能事业单位改革的检查验收工作。事业单位承担的行政职能的清理，已在机关“三定”规定、事业单位调整方案中予以明确，行政机关的“三定”规定明确承担相关行政职能，事业单位的调整方案将明确不再承担相关行政职能。</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正按照政事分开、事企分开和管办分离的要求，开展调研区直公益类事业单位改革相关工作。结合区的实际，对拟撤销或“转企改制”的事业单位、公益类的事业单位改革，按照中央和省对市县机构改革的部署，开展调研并提出下一步推进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深化落实“数字政府”改革部署，加快推进“政务上云”工程，配合市大力推动政务服务事项“网上办”。</w:t>
            </w:r>
            <w:r>
              <w:rPr>
                <w:rFonts w:hint="eastAsia" w:ascii="仿宋_GB2312" w:hAnsi="宋体" w:eastAsia="仿宋_GB2312"/>
                <w:b/>
                <w:sz w:val="24"/>
                <w:szCs w:val="24"/>
              </w:rPr>
              <w:t>（牵头单位：区政务服务数据管理局）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区政务服务数据管理局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已完成政府中心机房安全建设项目第一阶段设备安装调试。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4"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深入推进法治政府建设，严格规范公正文明执法。</w:t>
            </w:r>
            <w:r>
              <w:rPr>
                <w:rFonts w:hint="eastAsia" w:ascii="仿宋_GB2312" w:hAnsi="宋体" w:eastAsia="仿宋_GB2312"/>
                <w:b/>
                <w:sz w:val="24"/>
                <w:szCs w:val="24"/>
              </w:rPr>
              <w:t>（牵头单位：区司法局）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李沃健</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区司法局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已在区政府门户网站首页（www.pjq.gov.cn）设置行政执法公示专栏，各行政执法部门均已在专栏上公示行政执法信息；已组织各行政执法部门在广东省行政执法信息公示平台录入并上传2018年行政执法年度数据。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全面落实司法责任制，深化司法体制综合配套改革。</w:t>
            </w:r>
            <w:r>
              <w:rPr>
                <w:rFonts w:hint="eastAsia" w:ascii="仿宋_GB2312" w:hAnsi="宋体" w:eastAsia="仿宋_GB2312"/>
                <w:b/>
                <w:sz w:val="24"/>
                <w:szCs w:val="24"/>
              </w:rPr>
              <w:t>（牵头单位：区委政法委）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林伟勤</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区委政法委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区法院</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区检察院</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区公安分局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区司法局</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机构改革正稳妥推进，区公、检、法、司四个单位均已经制定内设机构改革方案，区公、检、法三个单位均已结合本单位实际对绩效考核方案作出修订，并分别制订了对应的人员权责规定，严格规范了执法办案行为，明确了人员的权力清单、责任清单。</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2.智慧新警务建设正有序推进，多元化矛盾纠纷化解机制进一步完善。</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3.刑事案件律师辩护全覆盖成效显著，一季度共受理法律援助203件。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继续深化法治“四级同创”活动，深入开展法治区、法治镇（街）和民主法治村（居）创建，落实“一村（居）一法律顾问”建设。</w:t>
            </w:r>
            <w:r>
              <w:rPr>
                <w:rFonts w:hint="eastAsia" w:ascii="仿宋_GB2312" w:hAnsi="宋体" w:eastAsia="仿宋_GB2312"/>
                <w:b/>
                <w:sz w:val="24"/>
                <w:szCs w:val="24"/>
              </w:rPr>
              <w:t>（牵头单位：区司法局）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李沃健</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区司法局</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于3月完成全区法治镇、街和民主法治村（居）的摸底调研，所有镇（街）、村（社区）已达到省级创建标准；全区各镇（街）、89条村（社区）均已通过了省级创建考评验收，余下的村（社区）已全部参与申报省级民主法治村（社区）创建；已于1月完成2018年下半年村（社区）法律顾问量化考核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加强党的基层组织建设，深入实施基层党建“十大专项行动”。</w:t>
            </w:r>
            <w:r>
              <w:rPr>
                <w:rFonts w:hint="eastAsia" w:ascii="仿宋_GB2312" w:hAnsi="宋体" w:eastAsia="仿宋_GB2312"/>
                <w:b/>
                <w:sz w:val="24"/>
                <w:szCs w:val="24"/>
              </w:rPr>
              <w:t>（牵头单位：区委组织部）</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杜阮镇</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环市街</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潮连街</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白沙街</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1.现正不断提升规范化建设水平，抓细抓实基本制度落实情况，深化石头村、禾冈村、松岭村等红色村建设，挖掘红色资源，打造先进典型，规范基层组织运作，提升基层党组织组织力。</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2.计划年底前实现社区“大党委”全覆盖，并规范运作机制，发挥共建共享共治实效。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加强党的基层组织建设，深入实施基层党建“十大专项行动”。</w:t>
            </w:r>
            <w:r>
              <w:rPr>
                <w:rFonts w:hint="eastAsia" w:ascii="仿宋_GB2312" w:hAnsi="宋体" w:eastAsia="仿宋_GB2312"/>
                <w:b/>
                <w:sz w:val="24"/>
                <w:szCs w:val="24"/>
              </w:rPr>
              <w:t>（牵头单位：区委组织部）</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2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2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20" w:lineRule="exact"/>
              <w:jc w:val="center"/>
              <w:rPr>
                <w:rFonts w:ascii="仿宋_GB2312" w:hAnsi="宋体" w:eastAsia="仿宋_GB2312"/>
                <w:sz w:val="24"/>
                <w:szCs w:val="24"/>
              </w:rPr>
            </w:pPr>
            <w:r>
              <w:rPr>
                <w:rFonts w:hint="eastAsia" w:ascii="仿宋_GB2312" w:hAnsi="宋体" w:eastAsia="仿宋_GB2312"/>
                <w:sz w:val="24"/>
                <w:szCs w:val="24"/>
              </w:rPr>
              <w:t>荷塘镇</w:t>
            </w:r>
          </w:p>
          <w:p>
            <w:pPr>
              <w:spacing w:line="320" w:lineRule="exact"/>
              <w:jc w:val="center"/>
              <w:rPr>
                <w:rFonts w:ascii="仿宋_GB2312" w:hAnsi="宋体" w:eastAsia="仿宋_GB2312"/>
                <w:sz w:val="24"/>
                <w:szCs w:val="24"/>
              </w:rPr>
            </w:pPr>
            <w:r>
              <w:rPr>
                <w:rFonts w:hint="eastAsia" w:ascii="仿宋_GB2312" w:hAnsi="宋体" w:eastAsia="仿宋_GB2312"/>
                <w:sz w:val="24"/>
                <w:szCs w:val="24"/>
              </w:rPr>
              <w:t>杜阮镇</w:t>
            </w:r>
          </w:p>
        </w:tc>
        <w:tc>
          <w:tcPr>
            <w:tcW w:w="7187" w:type="dxa"/>
            <w:vMerge w:val="restart"/>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 选拔有能力、有文化、有口碑的本村外出务工经商人员、农村创业致富带头人、返乡大学生中的优秀党员担任村党组织书记，选优配强基层党组织书记，并按照1:2的比例建立村（社区）党组织书记后备队伍，现已建立起 311 人的村后备干部队伍。</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rPr>
              <w:t>已</w:t>
            </w:r>
            <w:r>
              <w:rPr>
                <w:rFonts w:hint="eastAsia" w:ascii="仿宋_GB2312" w:hAnsi="黑体" w:eastAsia="仿宋_GB2312" w:cs="Times New Roman"/>
                <w:sz w:val="24"/>
                <w:szCs w:val="24"/>
              </w:rPr>
              <w:t>调整了棠下镇周郡村、杜阮镇木朗村党组织书记，并实行任职资格联审。</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w:t>
            </w:r>
            <w:r>
              <w:t xml:space="preserve"> </w:t>
            </w:r>
            <w:r>
              <w:rPr>
                <w:rFonts w:hint="eastAsia" w:ascii="仿宋_GB2312" w:hAnsi="黑体" w:eastAsia="仿宋_GB2312" w:cs="Times New Roman"/>
                <w:sz w:val="24"/>
                <w:szCs w:val="24"/>
              </w:rPr>
              <w:t>正对所有村（社区）党组织进行“拉网式”“地毯式”排查，逐一甄别、分析研判，计划新增两个软弱涣散村党组织。</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重点发挥国企党组织领导作用，落实好党组织书记、董事长“一肩挑”等74条党建重点任务措施。实施扩面提质专项行动，提高“两新”组织党的组织、工作“两个覆盖”质量，统筹推进园区、商圈市场、商务楼宇等新兴领域党建工作，做到应建尽建、有效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Align w:val="center"/>
          </w:tcPr>
          <w:p>
            <w:pPr>
              <w:spacing w:line="32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20" w:lineRule="exact"/>
              <w:jc w:val="center"/>
              <w:rPr>
                <w:rFonts w:ascii="仿宋_GB2312" w:hAnsi="宋体" w:eastAsia="仿宋_GB2312"/>
                <w:sz w:val="24"/>
                <w:szCs w:val="24"/>
              </w:rPr>
            </w:pPr>
            <w:r>
              <w:rPr>
                <w:rFonts w:hint="eastAsia" w:ascii="仿宋_GB2312" w:hAnsi="宋体" w:eastAsia="仿宋_GB2312"/>
                <w:sz w:val="24"/>
                <w:szCs w:val="24"/>
              </w:rPr>
              <w:t>各镇、街</w:t>
            </w: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Align w:val="center"/>
          </w:tcPr>
          <w:p>
            <w:pPr>
              <w:spacing w:line="32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20" w:lineRule="exact"/>
              <w:jc w:val="center"/>
              <w:rPr>
                <w:rFonts w:ascii="仿宋_GB2312" w:hAnsi="宋体" w:eastAsia="仿宋_GB2312"/>
                <w:sz w:val="24"/>
                <w:szCs w:val="24"/>
              </w:rPr>
            </w:pPr>
            <w:r>
              <w:rPr>
                <w:rFonts w:hint="eastAsia" w:ascii="仿宋_GB2312" w:hAnsi="宋体" w:eastAsia="仿宋_GB2312"/>
                <w:sz w:val="24"/>
                <w:szCs w:val="24"/>
              </w:rPr>
              <w:t>棠下镇</w:t>
            </w:r>
          </w:p>
          <w:p>
            <w:pPr>
              <w:spacing w:line="320" w:lineRule="exact"/>
              <w:jc w:val="center"/>
              <w:rPr>
                <w:rFonts w:ascii="仿宋_GB2312" w:hAnsi="宋体" w:eastAsia="仿宋_GB2312"/>
                <w:sz w:val="24"/>
                <w:szCs w:val="24"/>
              </w:rPr>
            </w:pPr>
            <w:r>
              <w:rPr>
                <w:rFonts w:hint="eastAsia" w:ascii="仿宋_GB2312" w:hAnsi="宋体" w:eastAsia="仿宋_GB2312"/>
                <w:sz w:val="24"/>
                <w:szCs w:val="24"/>
              </w:rPr>
              <w:t>潮连街</w:t>
            </w: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Align w:val="center"/>
          </w:tcPr>
          <w:p>
            <w:pPr>
              <w:spacing w:line="32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20" w:lineRule="exact"/>
              <w:jc w:val="center"/>
              <w:rPr>
                <w:rFonts w:ascii="仿宋_GB2312" w:hAnsi="宋体" w:eastAsia="仿宋_GB2312"/>
                <w:sz w:val="24"/>
                <w:szCs w:val="24"/>
              </w:rPr>
            </w:pPr>
            <w:r>
              <w:rPr>
                <w:rFonts w:hint="eastAsia" w:ascii="仿宋_GB2312" w:hAnsi="宋体" w:eastAsia="仿宋_GB2312"/>
                <w:sz w:val="24"/>
                <w:szCs w:val="24"/>
              </w:rPr>
              <w:t>区国有资产监督管理局</w:t>
            </w: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9"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不断加强区政府党组建设，发挥各级政府党组织的引领作用，严格落实“三重一大”事项集体决策制度。</w:t>
            </w:r>
            <w:r>
              <w:rPr>
                <w:rFonts w:hint="eastAsia" w:ascii="仿宋_GB2312" w:hAnsi="宋体" w:eastAsia="仿宋_GB2312"/>
                <w:b/>
                <w:sz w:val="24"/>
                <w:szCs w:val="24"/>
              </w:rPr>
              <w:t>（牵头单位：区委组织部）</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已根据中央、省、市和区委深化机构改革工作部署要求，同步在机构改革单位中调整党组设置，加强区直部门党组建设，严格落实“三重一大”事项集体决策制度。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0"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加强干部教育和培养，按照“信念坚定、为民服务、勤政务实、敢于担当、清正廉洁”的好干部标准，培养重用“三硬一好”的干部。</w:t>
            </w:r>
            <w:r>
              <w:rPr>
                <w:rFonts w:hint="eastAsia" w:ascii="仿宋_GB2312" w:hAnsi="宋体" w:eastAsia="仿宋_GB2312"/>
                <w:b/>
                <w:sz w:val="24"/>
                <w:szCs w:val="24"/>
              </w:rPr>
              <w:t>（牵头单位：区委组织部）</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区委组织部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区直各单位党委（党组）</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各镇（街）党（工）委</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截至3月底，全区共提拔调整区管科级干部152人，其中提拔重用24人，交流调整128人。新组建党政部门领导班子已全部到位，进一步整合优化全区的“人财物”资源和优势，优化党的组织机构，实现党的领导更加坚强有力。全区党政机构领导班子的年龄结构得到进一步优化，21个区政府工作部门正职的平均年龄由机构改革前的47.2岁下降到改革后的45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543" w:type="dxa"/>
            <w:vMerge w:val="restart"/>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restart"/>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持续加强和改进政府系统意识形态工作。强化网络舆情导控手段，及时化解网上突发舆情和有害信息，严把意识形态安全关口，确保全区意识形态安全。</w:t>
            </w:r>
            <w:r>
              <w:rPr>
                <w:rFonts w:hint="eastAsia" w:ascii="仿宋_GB2312" w:hAnsi="宋体" w:eastAsia="仿宋_GB2312"/>
                <w:b/>
                <w:sz w:val="24"/>
                <w:szCs w:val="24"/>
              </w:rPr>
              <w:t>（牵头单位：区委宣传部）</w:t>
            </w:r>
          </w:p>
        </w:tc>
        <w:tc>
          <w:tcPr>
            <w:tcW w:w="1134" w:type="dxa"/>
            <w:vMerge w:val="restart"/>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Merge w:val="restart"/>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区委宣传部</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区直各单位党委（党组）</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各镇（街）党（工）委</w:t>
            </w:r>
          </w:p>
        </w:tc>
        <w:tc>
          <w:tcPr>
            <w:tcW w:w="7187" w:type="dxa"/>
            <w:vMerge w:val="restart"/>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成立区委网络安全和信息化委员会，并印发《关于开展网络生态治理专项行动的通知》等工作方案，部署开展网络安全专项整治工作，通过召开区委中心组（扩大）意识形态工作专题学习会，加强党员干部意识形态安全学习。</w:t>
            </w:r>
            <w:r>
              <w:rPr>
                <w:rFonts w:hint="eastAsia" w:ascii="仿宋_GB2312" w:hAnsi="黑体" w:eastAsia="仿宋_GB2312" w:cs="Times New Roman"/>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jc w:val="center"/>
              <w:rPr>
                <w:rFonts w:ascii="仿宋_GB2312" w:hAnsi="宋体" w:eastAsia="仿宋_GB2312"/>
                <w:sz w:val="24"/>
                <w:szCs w:val="24"/>
              </w:rPr>
            </w:pP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jc w:val="center"/>
              <w:rPr>
                <w:rFonts w:ascii="仿宋_GB2312" w:hAnsi="宋体" w:eastAsia="仿宋_GB2312"/>
                <w:sz w:val="24"/>
                <w:szCs w:val="24"/>
              </w:rPr>
            </w:pP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543" w:type="dxa"/>
            <w:vMerge w:val="continue"/>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Merge w:val="continue"/>
            <w:vAlign w:val="center"/>
          </w:tcPr>
          <w:p>
            <w:pPr>
              <w:spacing w:line="300" w:lineRule="exact"/>
              <w:rPr>
                <w:rFonts w:ascii="仿宋_GB2312" w:hAnsi="宋体" w:eastAsia="仿宋_GB2312"/>
                <w:sz w:val="24"/>
                <w:szCs w:val="24"/>
              </w:rPr>
            </w:pPr>
          </w:p>
        </w:tc>
        <w:tc>
          <w:tcPr>
            <w:tcW w:w="1134" w:type="dxa"/>
            <w:vMerge w:val="continue"/>
            <w:vAlign w:val="center"/>
          </w:tcPr>
          <w:p>
            <w:pPr>
              <w:spacing w:line="300" w:lineRule="exact"/>
              <w:jc w:val="center"/>
              <w:rPr>
                <w:rFonts w:ascii="仿宋_GB2312" w:hAnsi="宋体" w:eastAsia="仿宋_GB2312" w:cs="Times New Roman"/>
                <w:sz w:val="24"/>
                <w:szCs w:val="24"/>
              </w:rPr>
            </w:pPr>
          </w:p>
        </w:tc>
        <w:tc>
          <w:tcPr>
            <w:tcW w:w="3119" w:type="dxa"/>
            <w:vMerge w:val="continue"/>
            <w:vAlign w:val="center"/>
          </w:tcPr>
          <w:p>
            <w:pPr>
              <w:spacing w:line="300" w:lineRule="exact"/>
              <w:jc w:val="center"/>
              <w:rPr>
                <w:rFonts w:ascii="仿宋_GB2312" w:hAnsi="宋体" w:eastAsia="仿宋_GB2312"/>
                <w:sz w:val="24"/>
                <w:szCs w:val="24"/>
              </w:rPr>
            </w:pPr>
          </w:p>
        </w:tc>
        <w:tc>
          <w:tcPr>
            <w:tcW w:w="7187" w:type="dxa"/>
            <w:vMerge w:val="continue"/>
            <w:vAlign w:val="center"/>
          </w:tcPr>
          <w:p>
            <w:pPr>
              <w:spacing w:line="300" w:lineRule="exact"/>
              <w:ind w:firstLine="480" w:firstLineChars="200"/>
              <w:rPr>
                <w:rFonts w:ascii="仿宋_GB2312" w:hAnsi="黑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不断巩固落实中央八项规定精神，深入查找和纠正“四风”突出问题特别是形式主义、官僚主义的新表现。</w:t>
            </w:r>
            <w:r>
              <w:rPr>
                <w:rFonts w:hint="eastAsia" w:ascii="仿宋_GB2312" w:hAnsi="宋体" w:eastAsia="仿宋_GB2312"/>
                <w:b/>
                <w:sz w:val="24"/>
                <w:szCs w:val="24"/>
              </w:rPr>
              <w:t>（牵头单位：区纪委监委）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邹  强</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区纪委监委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区直各单位党委（党组）</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各镇（街）党（工）委</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对全区各级党组织开展“两个责任”检查，压实党委（党组）的主体责任；迅速转发市纪委监委《关于做好元旦春节期间纠正“四风”工作的通知》，要求各单位把贯彻落实中央八项规定精神、纠正“四风”问题作为一项重要政治任务，狠抓落实；加大节日期间的宣传力度，利用“蓬江清风”微信公众号、“蓬江纪检监察网”网站等平台，迅速把各级党委、纪委的通知要求以及有关违反中央八项规定精神典型问题的通报及时传达到各级党组织和广大党员干部。发送廉政短信提醒30000多条；开展明查暗访，在今年元旦春节期间对区内各镇街的工作场所和办事窗口均进行明查暗访，共派出50多人次，暗访场所30多个；对棠下镇原班子成员不认真落实中央八项规定精神，违反廉洁纪律，违规领取补贴、奖金、礼品的违纪案进行审理，并及时向各所在党组织通报该违纪问题，督促检查纪律处分执行情况，确保执行情况落实到位。</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rPr>
              <w:t xml:space="preserve"> </w:t>
            </w:r>
            <w:r>
              <w:rPr>
                <w:rFonts w:hint="eastAsia" w:ascii="仿宋_GB2312" w:hAnsi="黑体" w:eastAsia="仿宋_GB2312" w:cs="Times New Roman"/>
                <w:sz w:val="24"/>
                <w:szCs w:val="24"/>
              </w:rPr>
              <w:t>开展党组织“一把手”述责述廉工作，要求各党组织“一把手”执行政治纪律和政治规矩、履行管党治党责任、推进党风廉政建设和反腐败工作、加强廉洁自律等情况进行详细报告，坚决整治领导干部插手特殊资源，决不让“四风”问题反弹回潮。</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区纪委按照市纪委的统一部署，成立责任生态环保问题追究工作组和核查小组，对蓬江区污水处理和黑臭水体治理PPP项目全面停工的问题进行查办和责任追究工作；对中和猪场、五洞猪场违法违规行为监管形式主义、官僚主义问题启动问责程序，对5个责任党组织和20名责任人作出问责决定，并予以全区通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严格实施区基层正风反腐三年行动方案，落实各级党委政府、各部门党风廉政建设责任制。</w:t>
            </w:r>
            <w:r>
              <w:rPr>
                <w:rFonts w:hint="eastAsia" w:ascii="仿宋_GB2312" w:hAnsi="宋体" w:eastAsia="仿宋_GB2312"/>
                <w:b/>
                <w:sz w:val="24"/>
                <w:szCs w:val="24"/>
              </w:rPr>
              <w:t>（牵头单位：区纪委监委）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邹  强</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区纪委监委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各镇（街）党（工）委</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w:t>
            </w:r>
            <w:r>
              <w:rPr>
                <w:rFonts w:hint="eastAsia"/>
              </w:rPr>
              <w:t xml:space="preserve"> </w:t>
            </w:r>
            <w:r>
              <w:rPr>
                <w:rFonts w:hint="eastAsia" w:ascii="仿宋_GB2312" w:hAnsi="黑体" w:eastAsia="仿宋_GB2312" w:cs="Times New Roman"/>
                <w:sz w:val="24"/>
                <w:szCs w:val="24"/>
              </w:rPr>
              <w:t>结合贯彻落实省委《广东省基层正风反腐三年行动方案（2018—2020年）》，制定印发《蓬江区开展扫黑除恶同反腐败斗争和基层“拍蝇”相结合专项工作实施方案》，以问题为导向，围绕扶贫领域、涉黑涉恶腐败易发多发的重点部门、重点环节、重要岗位，督促相关部门认真梳理查找廉政风险点，细化职责权限，规范权力运行，建立健全执纪问责长效机制。形成持续高压震慑态势，坚决惩治基层腐败和侵害群众利益的不正之风问题。今年以来，共摸排发现扶贫领域违纪违法问题线索4条。</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rPr>
              <w:t xml:space="preserve"> </w:t>
            </w:r>
            <w:r>
              <w:rPr>
                <w:rFonts w:hint="eastAsia" w:ascii="仿宋_GB2312" w:hAnsi="黑体" w:eastAsia="仿宋_GB2312" w:cs="Times New Roman"/>
                <w:sz w:val="24"/>
                <w:szCs w:val="24"/>
              </w:rPr>
              <w:t>落实协同办案机制,助推打“伞”打“财”。加强和公安机关在扫黑除恶专项斗争中协作配合，深挖黑恶势力“保护伞”，全面追回涉黑涉恶人员的非法利益。今年以来，区纪委监委新增涉黑涉恶腐败和“保护伞”问题线索6条，立案6宗6人，办结3宗，3人均已移送司法机关，2019年区纪委监委打财合计人民币450多万元。</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 3月下旬，由区党廉办副主任在区政府党组会上对各镇（街）、区直各单位全面落实党风廉政建设“两个责任”的检查作专题汇报，指出检查中发现各单位开展警示教育不全面、不到位的问题，提出今后工作建议，推动以案治本工作，增强警示实效；加强典型案例的剖析和通报。对江门市公安局蓬江分局原党委委员（正科级）、副局长顾启钊充当涉恶“保护伞”案件深入剖析，报送到市纪委监委，录入《廉政警示教育读本（2019）》，结合今年纪律教育纪律教育学习月活动开展警示教育，营造浩大的声势，使群众积极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5"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加大巡察整改力度，抓好巡察整改“回头看”，实施村（社区）、经联社巡察，推动实现党委一届任期内村（社区）党组织巡察全覆盖。</w:t>
            </w:r>
            <w:r>
              <w:rPr>
                <w:rFonts w:hint="eastAsia" w:ascii="仿宋_GB2312" w:hAnsi="宋体" w:eastAsia="仿宋_GB2312"/>
                <w:b/>
                <w:sz w:val="24"/>
                <w:szCs w:val="24"/>
              </w:rPr>
              <w:t>（牵头单位：区纪委监委）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邹  强</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区纪委监委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区直各单位党委（党组）</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各镇（街）党（工）委</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1.3月4日和3月14日，区委书记伍培进连续2次主持召开书记专题会议，分别听取九届区委第三轮和第四轮巡察情况汇报，听取九届区委第三轮巡察反馈意见整改落实情况的综合报告；听取荷塘镇党委、环市街党工委落实市委第一巡察组反馈意见整改情况的综合报告；根据第四轮巡察发现的问题线索，巡察办在会后马上将巡察发现的线索移交区纪委监委案管室。同时，区巡察工作领导小组成员分别带队参加巡察反馈会议，及时向第四轮被巡察党组织及主要负责人分别反馈巡察情况。</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rPr>
              <w:t xml:space="preserve"> </w:t>
            </w:r>
            <w:r>
              <w:rPr>
                <w:rFonts w:hint="eastAsia" w:ascii="仿宋_GB2312" w:hAnsi="黑体" w:eastAsia="仿宋_GB2312" w:cs="Times New Roman"/>
                <w:sz w:val="24"/>
                <w:szCs w:val="24"/>
              </w:rPr>
              <w:t>3月15日至5月下旬，按照区委巡察工作的统一部署，共派出六个巡察组，采取“一托二”的方式，开展第五轮巡察工作。其中:对杜阮镇、区发改局、区教育局、区民政局、区司法局、区农业农村和水利局、区审计局、江门市棠下中学等8个党组织开展常规巡察；对棠下镇的虎岭村、沙富村，荷塘镇的吕步村、六坊村等4个村级党组织开展村级巡察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w:t>
            </w:r>
            <w:r>
              <w:rPr>
                <w:rFonts w:hint="eastAsia"/>
              </w:rPr>
              <w:t xml:space="preserve"> </w:t>
            </w:r>
            <w:r>
              <w:rPr>
                <w:rFonts w:hint="eastAsia" w:ascii="仿宋_GB2312" w:hAnsi="黑体" w:eastAsia="仿宋_GB2312" w:cs="Times New Roman"/>
                <w:sz w:val="24"/>
                <w:szCs w:val="24"/>
              </w:rPr>
              <w:t>3月15日至5月下旬，开展九届区委第五轮巡察工作。其中:派出两个巡察组对棠下镇的虎岭村、沙富村，荷塘镇的吕步村、六坊村等4个村级党组织开展村级巡察工作。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7" w:hRule="atLeast"/>
          <w:jc w:val="center"/>
        </w:trPr>
        <w:tc>
          <w:tcPr>
            <w:tcW w:w="543" w:type="dxa"/>
            <w:vAlign w:val="center"/>
          </w:tcPr>
          <w:p>
            <w:pPr>
              <w:numPr>
                <w:ilvl w:val="0"/>
                <w:numId w:val="2"/>
              </w:numPr>
              <w:spacing w:line="300" w:lineRule="exact"/>
              <w:jc w:val="center"/>
              <w:rPr>
                <w:rFonts w:ascii="仿宋_GB2312" w:hAnsi="黑体" w:eastAsia="仿宋_GB2312" w:cs="仿宋_GB2312"/>
                <w:sz w:val="24"/>
                <w:szCs w:val="24"/>
              </w:rPr>
            </w:pPr>
          </w:p>
        </w:tc>
        <w:tc>
          <w:tcPr>
            <w:tcW w:w="3415" w:type="dxa"/>
            <w:gridSpan w:val="3"/>
            <w:vAlign w:val="center"/>
          </w:tcPr>
          <w:p>
            <w:pPr>
              <w:spacing w:line="300" w:lineRule="exact"/>
              <w:rPr>
                <w:rFonts w:ascii="仿宋_GB2312" w:hAnsi="宋体" w:eastAsia="仿宋_GB2312"/>
                <w:sz w:val="24"/>
                <w:szCs w:val="24"/>
              </w:rPr>
            </w:pPr>
            <w:r>
              <w:rPr>
                <w:rFonts w:hint="eastAsia" w:ascii="仿宋_GB2312" w:hAnsi="宋体" w:eastAsia="仿宋_GB2312"/>
                <w:sz w:val="24"/>
                <w:szCs w:val="24"/>
              </w:rPr>
              <w:t>着力解决行政执法、土地出让、审批监管等重点领域的违法违规问题，防范商品交换原则向党内渗透，大力整治群众身边的不正之风，构建“亲”“清”新型政商关系。</w:t>
            </w:r>
            <w:r>
              <w:rPr>
                <w:rFonts w:hint="eastAsia" w:ascii="仿宋_GB2312" w:hAnsi="宋体" w:eastAsia="仿宋_GB2312"/>
                <w:b/>
                <w:sz w:val="24"/>
                <w:szCs w:val="24"/>
              </w:rPr>
              <w:t>（牵头单位：区纪委监委）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邹  强</w:t>
            </w:r>
          </w:p>
        </w:tc>
        <w:tc>
          <w:tcPr>
            <w:tcW w:w="3119" w:type="dxa"/>
            <w:vAlign w:val="center"/>
          </w:tcPr>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区纪委监委</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区直各单位党委（党组）</w:t>
            </w:r>
          </w:p>
          <w:p>
            <w:pPr>
              <w:spacing w:line="300" w:lineRule="exact"/>
              <w:jc w:val="center"/>
              <w:rPr>
                <w:rFonts w:ascii="仿宋_GB2312" w:hAnsi="宋体" w:eastAsia="仿宋_GB2312"/>
                <w:sz w:val="24"/>
                <w:szCs w:val="24"/>
              </w:rPr>
            </w:pPr>
            <w:r>
              <w:rPr>
                <w:rFonts w:hint="eastAsia" w:ascii="仿宋_GB2312" w:hAnsi="宋体" w:eastAsia="仿宋_GB2312"/>
                <w:sz w:val="24"/>
                <w:szCs w:val="24"/>
              </w:rPr>
              <w:t>各镇（街）党（工）委</w:t>
            </w:r>
          </w:p>
        </w:tc>
        <w:tc>
          <w:tcPr>
            <w:tcW w:w="7187"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w:t>
            </w:r>
            <w:r>
              <w:rPr>
                <w:rFonts w:hint="eastAsia"/>
              </w:rPr>
              <w:t xml:space="preserve"> </w:t>
            </w:r>
            <w:r>
              <w:rPr>
                <w:rFonts w:hint="eastAsia" w:ascii="仿宋_GB2312" w:hAnsi="黑体" w:eastAsia="仿宋_GB2312" w:cs="Times New Roman"/>
                <w:sz w:val="24"/>
                <w:szCs w:val="24"/>
              </w:rPr>
              <w:t>2019年1月-3月查处环市街党工委原书记（广东珠西投资控股集团有限公司原董事长）涉嫌贪污受贿案件，现已移送司法机关；查处环市街道办农业服务中心原主任（广东珠西智谷投资有限公司原总经理）职务违法案件，现已移送区纪委监委案件审理部门；严肃查处环市街（珠西智谷）违纪违法问题；查处市公安局蓬江分局钱某某违纪案，已移送案审审理。</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rPr>
              <w:t xml:space="preserve"> </w:t>
            </w:r>
            <w:r>
              <w:rPr>
                <w:rFonts w:hint="eastAsia" w:ascii="仿宋_GB2312" w:hAnsi="黑体" w:eastAsia="仿宋_GB2312" w:cs="Times New Roman"/>
                <w:sz w:val="24"/>
                <w:szCs w:val="24"/>
              </w:rPr>
              <w:t>印发《关于落实〈广东省纪检监察机关集中整治形式主义、官僚主义工作措施〉的分工安排》，加强对促进民营经济发展政策落实情况的监督检查，坚决整治侵害群众利益的腐败和作风问题。</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w:t>
            </w:r>
            <w:r>
              <w:rPr>
                <w:rFonts w:hint="eastAsia"/>
              </w:rPr>
              <w:t xml:space="preserve"> </w:t>
            </w:r>
            <w:r>
              <w:rPr>
                <w:rFonts w:hint="eastAsia" w:ascii="仿宋_GB2312" w:hAnsi="黑体" w:eastAsia="仿宋_GB2312" w:cs="Times New Roman"/>
                <w:sz w:val="24"/>
                <w:szCs w:val="24"/>
              </w:rPr>
              <w:t>加强典型案例剖析，对江门市公安局蓬江分局原党委委员、副局长顾启钊案件中官商勾结的问题深入剖析，报送到市纪委监委，录入《廉政警示教育读本（2019）》，结合今年纪律教育纪律教育学习月活动开展警示教育。</w:t>
            </w:r>
          </w:p>
        </w:tc>
      </w:tr>
    </w:tbl>
    <w:p>
      <w:pPr>
        <w:spacing w:line="380" w:lineRule="exact"/>
        <w:jc w:val="left"/>
        <w:outlineLvl w:val="0"/>
        <w:rPr>
          <w:rFonts w:ascii="黑体" w:hAnsi="黑体" w:eastAsia="黑体" w:cs="Times New Roman"/>
          <w:sz w:val="32"/>
          <w:szCs w:val="32"/>
        </w:rPr>
      </w:pPr>
      <w:r>
        <w:rPr>
          <w:rFonts w:hint="eastAsia" w:ascii="黑体" w:hAnsi="黑体" w:eastAsia="黑体" w:cs="黑体"/>
          <w:sz w:val="32"/>
          <w:szCs w:val="32"/>
        </w:rPr>
        <w:t>三、区民生实事（共20项）</w:t>
      </w:r>
    </w:p>
    <w:tbl>
      <w:tblPr>
        <w:tblStyle w:val="18"/>
        <w:tblW w:w="15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992"/>
        <w:gridCol w:w="2410"/>
        <w:gridCol w:w="1134"/>
        <w:gridCol w:w="3119"/>
        <w:gridCol w:w="7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67" w:type="dxa"/>
            <w:vAlign w:val="center"/>
          </w:tcPr>
          <w:p>
            <w:pPr>
              <w:spacing w:line="360" w:lineRule="exact"/>
              <w:jc w:val="center"/>
              <w:rPr>
                <w:rFonts w:ascii="黑体" w:hAnsi="黑体" w:eastAsia="黑体" w:cs="Times New Roman"/>
                <w:sz w:val="28"/>
                <w:szCs w:val="28"/>
              </w:rPr>
            </w:pPr>
            <w:r>
              <w:rPr>
                <w:rFonts w:hint="eastAsia" w:ascii="黑体" w:hAnsi="黑体" w:eastAsia="黑体" w:cs="黑体"/>
                <w:sz w:val="28"/>
                <w:szCs w:val="28"/>
              </w:rPr>
              <w:t>序号</w:t>
            </w:r>
          </w:p>
        </w:tc>
        <w:tc>
          <w:tcPr>
            <w:tcW w:w="3402" w:type="dxa"/>
            <w:gridSpan w:val="2"/>
            <w:vAlign w:val="center"/>
          </w:tcPr>
          <w:p>
            <w:pPr>
              <w:spacing w:line="360" w:lineRule="exact"/>
              <w:jc w:val="center"/>
              <w:rPr>
                <w:rFonts w:ascii="黑体" w:hAnsi="黑体" w:eastAsia="黑体" w:cs="Times New Roman"/>
                <w:sz w:val="28"/>
                <w:szCs w:val="28"/>
              </w:rPr>
            </w:pPr>
            <w:r>
              <w:rPr>
                <w:rFonts w:hint="eastAsia" w:ascii="黑体" w:hAnsi="黑体" w:eastAsia="黑体" w:cs="黑体"/>
                <w:sz w:val="28"/>
                <w:szCs w:val="28"/>
              </w:rPr>
              <w:t>工作内容</w:t>
            </w:r>
          </w:p>
        </w:tc>
        <w:tc>
          <w:tcPr>
            <w:tcW w:w="1134" w:type="dxa"/>
            <w:vAlign w:val="center"/>
          </w:tcPr>
          <w:p>
            <w:pPr>
              <w:spacing w:line="360" w:lineRule="exact"/>
              <w:jc w:val="center"/>
              <w:rPr>
                <w:rFonts w:ascii="黑体" w:hAnsi="黑体" w:eastAsia="黑体" w:cs="Times New Roman"/>
                <w:sz w:val="28"/>
                <w:szCs w:val="28"/>
              </w:rPr>
            </w:pPr>
            <w:r>
              <w:rPr>
                <w:rFonts w:hint="eastAsia" w:ascii="黑体" w:hAnsi="黑体" w:eastAsia="黑体" w:cs="Times New Roman"/>
                <w:sz w:val="28"/>
                <w:szCs w:val="28"/>
              </w:rPr>
              <w:t>责任</w:t>
            </w:r>
          </w:p>
          <w:p>
            <w:pPr>
              <w:spacing w:line="360" w:lineRule="exact"/>
              <w:jc w:val="center"/>
              <w:rPr>
                <w:rFonts w:ascii="黑体" w:hAnsi="黑体" w:eastAsia="黑体" w:cs="Times New Roman"/>
                <w:sz w:val="28"/>
                <w:szCs w:val="28"/>
              </w:rPr>
            </w:pPr>
            <w:r>
              <w:rPr>
                <w:rFonts w:hint="eastAsia" w:ascii="黑体" w:hAnsi="黑体" w:eastAsia="黑体" w:cs="Times New Roman"/>
                <w:sz w:val="28"/>
                <w:szCs w:val="28"/>
              </w:rPr>
              <w:t>领导</w:t>
            </w:r>
          </w:p>
        </w:tc>
        <w:tc>
          <w:tcPr>
            <w:tcW w:w="3119" w:type="dxa"/>
            <w:vAlign w:val="center"/>
          </w:tcPr>
          <w:p>
            <w:pPr>
              <w:spacing w:line="360" w:lineRule="exact"/>
              <w:jc w:val="center"/>
              <w:rPr>
                <w:rFonts w:ascii="黑体" w:hAnsi="黑体" w:eastAsia="黑体" w:cs="Times New Roman"/>
                <w:sz w:val="28"/>
                <w:szCs w:val="28"/>
              </w:rPr>
            </w:pPr>
            <w:r>
              <w:rPr>
                <w:rFonts w:hint="eastAsia" w:ascii="黑体" w:hAnsi="黑体" w:eastAsia="黑体" w:cs="黑体"/>
                <w:sz w:val="28"/>
                <w:szCs w:val="28"/>
              </w:rPr>
              <w:t>责任单位</w:t>
            </w:r>
          </w:p>
        </w:tc>
        <w:tc>
          <w:tcPr>
            <w:tcW w:w="7198" w:type="dxa"/>
            <w:vAlign w:val="center"/>
          </w:tcPr>
          <w:p>
            <w:pPr>
              <w:spacing w:line="360" w:lineRule="exact"/>
              <w:ind w:left="-107" w:leftChars="-51" w:right="-82" w:rightChars="-39"/>
              <w:jc w:val="center"/>
              <w:rPr>
                <w:rFonts w:ascii="黑体" w:hAnsi="黑体" w:eastAsia="黑体" w:cs="Times New Roman"/>
                <w:sz w:val="28"/>
                <w:szCs w:val="28"/>
              </w:rPr>
            </w:pPr>
            <w:r>
              <w:rPr>
                <w:rFonts w:hint="eastAsia" w:ascii="黑体" w:hAnsi="黑体" w:eastAsia="黑体" w:cs="黑体"/>
                <w:sz w:val="28"/>
                <w:szCs w:val="28"/>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4"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一、提升基础教育服务水平</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补齐教育经费保障机制短板，建立学前教育、公办普通高中生均拨款制度及逐步增长机制，全区公办幼儿园年生均公用经费补助标准不低于每生每年300元，对符合条件的普惠性民办幼儿园给予补助。全区公办普通高中生均公用经费补助标准不低于每生每年500元；继续落实义务教育公用经费生均拨款制度，全区义务教育学校生均公用经费标准小学不低于每生每年1150元，初中不低于每生每年1950元。</w:t>
            </w:r>
            <w:r>
              <w:rPr>
                <w:rFonts w:hint="eastAsia" w:ascii="仿宋_GB2312" w:hAnsi="宋体" w:eastAsia="仿宋_GB2312"/>
                <w:b/>
                <w:sz w:val="24"/>
                <w:szCs w:val="24"/>
              </w:rPr>
              <w:t>（牵头单位：区教育局）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区教育局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经核定各学校（幼儿园）春季学期所需资金数128.505万元，每生150元，并向区财政局提交《关于核拨2019年春季学期学前教育生均公用经费拨款的函》；普通高中生均公用经费已按每生500元共160万元下达预算给学校使用；义务教育生均公用经费已按学生人数及标准（小学每生600元，初中每生1000元）核定春季学期所需资金5789.44万元，并向区财政局提交《关于核拨2019年春季学期免费义务教育财政补助资金的函》，其中区直公办学校所需资金2560.84万元已下达预算指标给各校使用。</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w:t>
            </w:r>
            <w:r>
              <w:rPr>
                <w:rFonts w:hint="eastAsia" w:ascii="仿宋_GB2312" w:eastAsia="仿宋_GB2312"/>
                <w:sz w:val="24"/>
                <w:szCs w:val="24"/>
              </w:rPr>
              <w:t>已</w:t>
            </w:r>
            <w:r>
              <w:rPr>
                <w:rFonts w:hint="eastAsia" w:ascii="仿宋_GB2312" w:hAnsi="黑体" w:eastAsia="仿宋_GB2312" w:cs="Times New Roman"/>
                <w:sz w:val="24"/>
                <w:szCs w:val="24"/>
              </w:rPr>
              <w:t>印发《蓬江区公办普通高中生均公用经费拨款管理制度》、《蓬江区学前教育生均拨款管理制度》。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一、提升基础教育服务水平</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推进义务教育学校建设，基本建成里仁小学。</w:t>
            </w:r>
            <w:r>
              <w:rPr>
                <w:rFonts w:hint="eastAsia" w:ascii="仿宋_GB2312" w:hAnsi="宋体" w:eastAsia="仿宋_GB2312"/>
                <w:b/>
                <w:sz w:val="24"/>
                <w:szCs w:val="24"/>
              </w:rPr>
              <w:t>（牵头单位：区教育局）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区教育局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区委编办</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区人力资源社会保障局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环市街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完成工地排水渠的安装迁移工作；基本完成土方平整开挖工作；工地上高压变压器迁移工作方案正处于审批流程；项目公司正对方案预算编制及变压器迁移施工单位进行招选。桩机已进场施工，正在进行桩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2"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二、提升居民医疗卫生服务能力</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进一步加大基层补贴，落实棠下镇卫生院、荷塘镇卫生院、杜阮镇卫生院、潮连街道社区卫生服务中心的基层医疗卫生机构事业费补助；落实棠下镇、荷塘镇、杜阮镇农村卫生站医生补贴。</w:t>
            </w:r>
            <w:r>
              <w:rPr>
                <w:rFonts w:hint="eastAsia" w:ascii="仿宋_GB2312" w:hAnsi="宋体" w:eastAsia="仿宋_GB2312"/>
                <w:b/>
                <w:sz w:val="24"/>
                <w:szCs w:val="24"/>
              </w:rPr>
              <w:t>（牵头单位：区卫生健康局）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区卫生健康局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基层医疗卫生机构事业费补助已落实预算指标615.6万元，其中区级221.22万元，镇街394.38万元，待镇街核定后完成划拨工作；农村卫生站医生补贴已落实预算指标66.6万元，待考核完成后划拨。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restart"/>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二、提升居民医疗卫生服务能力</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实施农村妇女“两癌”免费检查，保障妇女健康，全年完成“两癌”筛查任务1800人。</w:t>
            </w:r>
            <w:r>
              <w:rPr>
                <w:rFonts w:hint="eastAsia" w:ascii="仿宋_GB2312" w:hAnsi="宋体" w:eastAsia="仿宋_GB2312"/>
                <w:b/>
                <w:sz w:val="24"/>
                <w:szCs w:val="24"/>
              </w:rPr>
              <w:t>（牵头单位：区卫生健康局）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区卫生健康局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棠下镇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荷塘镇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杜阮镇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环市街</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潮连镇</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已组织各医院统一安排“两癌”筛查工作所需人财物和外送检验项目。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continue"/>
            <w:vAlign w:val="center"/>
          </w:tcPr>
          <w:p>
            <w:pPr>
              <w:spacing w:line="260" w:lineRule="exact"/>
              <w:rPr>
                <w:rFonts w:ascii="黑体" w:hAnsi="黑体" w:eastAsia="黑体" w:cs="Times New Roman"/>
                <w:sz w:val="24"/>
                <w:szCs w:val="24"/>
              </w:rPr>
            </w:pP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进一步加强基层医疗卫生人才队伍建设，全科医生规范化培训7名，全科医生转岗培训44名，乡村医生定向培养项目培训15名。</w:t>
            </w:r>
            <w:r>
              <w:rPr>
                <w:rFonts w:hint="eastAsia" w:ascii="仿宋_GB2312" w:hAnsi="宋体" w:eastAsia="仿宋_GB2312"/>
                <w:b/>
                <w:sz w:val="24"/>
                <w:szCs w:val="24"/>
              </w:rPr>
              <w:t>（牵头单位：区卫生健康局）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区卫生健康局</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截至3月底，全科医生规范化培训共有5人在读；全科医生转岗培训共有41人在读；乡村医生定向培养共有15人在读。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8"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continue"/>
            <w:vAlign w:val="center"/>
          </w:tcPr>
          <w:p>
            <w:pPr>
              <w:spacing w:line="260" w:lineRule="exact"/>
              <w:rPr>
                <w:rFonts w:ascii="黑体" w:hAnsi="黑体" w:eastAsia="黑体" w:cs="Times New Roman"/>
                <w:sz w:val="24"/>
                <w:szCs w:val="24"/>
              </w:rPr>
            </w:pP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加大基层医疗基础设施建设，推动棠下镇卫生院住院大楼建设工程。</w:t>
            </w:r>
            <w:r>
              <w:rPr>
                <w:rFonts w:hint="eastAsia" w:ascii="仿宋_GB2312" w:hAnsi="宋体" w:eastAsia="仿宋_GB2312"/>
                <w:b/>
                <w:sz w:val="24"/>
                <w:szCs w:val="24"/>
              </w:rPr>
              <w:t>（牵头单位：棠下镇）</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棠下镇</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棠下镇卫生院住院大楼已完成二层框架楼面结构施工。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7"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三、提高市场食品质量安全水平</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全面加强食品质量安全监督管理，完成不少于2千批次食品抽检任务，食品检验量达到每年每千人5批次；2019年在区内10个省重点考核市场开展以蔬菜、水产品等为主的快速检测，及时公示快检信息，对疑似不合格产品处置率100%，全面快检批次不少于4.5万批次。</w:t>
            </w:r>
            <w:r>
              <w:rPr>
                <w:rFonts w:hint="eastAsia" w:ascii="仿宋_GB2312" w:hAnsi="宋体" w:eastAsia="仿宋_GB2312"/>
                <w:b/>
                <w:sz w:val="24"/>
                <w:szCs w:val="24"/>
              </w:rPr>
              <w:t>（牵头单位：区市场监管局）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区市场监管局</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 xml:space="preserve">1.截至3月底，已对10个重点快检市场累计开展快检15252批次，不合格79批次，合格率99.48%；处理不合格产品154.71kg，对不合格产品处置率达100%；其中蔬菜13521批次，合格率99.57%；水产品1131批次，合格率98.14%；肉禽蛋类600批次，合格率100%。 </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根据市2019年食品抽检计划，结合区的实际，已制定区2019年千人5批次食品抽检方案，计划2019年抽检生产、流通、餐饮环节的食品（含食用农产品）的检验量任务为2200批次。目前已抽检食品229批次（流通115批次，生产64批次，食用农产品50批次），及时开展节假日应节食品的抽检专项，已完成全年任务的10.4%。其中已出结果180批次，不合格2批次，均立案调查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6"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四、提高底线民生保障水平</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逐步提高低保、特困、孤儿、残疾人两项补贴标准，实现城镇低保补差水平不低于低保标准的75%，农村低保补差水平不低于低保标准的50%，且不低于省定标准；特困人员基本生活标准按不低于低保标准的1.6倍，且不低于当地现行特困人员基本生活标准确定。孤儿基本生活最低养育集中供养每人每月1800元、分散供养每人每月1025元；困难残疾人生活补贴每人每年1980元，重度残疾人护理补贴每人每年2640元。</w:t>
            </w:r>
            <w:r>
              <w:rPr>
                <w:rFonts w:hint="eastAsia" w:ascii="仿宋_GB2312" w:hAnsi="宋体" w:eastAsia="仿宋_GB2312"/>
                <w:b/>
                <w:sz w:val="24"/>
                <w:szCs w:val="24"/>
              </w:rPr>
              <w:t>（牵头单位：区民政局）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黄文坚</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区民政局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完成残疾人两项补贴提标工作，发放标准为困难残疾人生活补贴每人每年1980元（即每人165元/月），重度残疾人护理补贴每人每年2640元（即每人220元/月）。截至3月底，困难残疾人生活补贴发放843人次，支出资金14.0355万元，重度残疾人护理补贴发放13553人次，支出资金30.9182万元。</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2.已完成孤儿标准提标工作，发放标准为集中供养孤儿每人1990元/月，分散供养孤儿每人1240元/月，已于3月完成提标工作，同时并补发1、2月的差额。</w:t>
            </w:r>
            <w:r>
              <w:rPr>
                <w:rFonts w:hint="eastAsia" w:ascii="仿宋_GB2312" w:hAnsi="黑体" w:eastAsia="仿宋_GB2312" w:cs="Times New Roman"/>
                <w:sz w:val="24"/>
                <w:szCs w:val="24"/>
                <w:lang w:eastAsia="zh-CN"/>
              </w:rPr>
              <w:t>截至</w:t>
            </w:r>
            <w:r>
              <w:rPr>
                <w:rFonts w:hint="eastAsia" w:ascii="仿宋_GB2312" w:hAnsi="黑体" w:eastAsia="仿宋_GB2312" w:cs="Times New Roman"/>
                <w:sz w:val="24"/>
                <w:szCs w:val="24"/>
              </w:rPr>
              <w:t>3月，集中供养孤儿44人，1-3月支出资金26.448万元，分散供养孤儿16人 ，1-3月支出资金5.952万元。</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3.低保、特困提标工作需待省、市出台2019年标准，报请区委、区政府后进行提标。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restart"/>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四、提高底线民生保障水平</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进一步提高城乡居民基</w:t>
            </w:r>
            <w:r>
              <w:rPr>
                <w:rFonts w:hint="eastAsia" w:ascii="仿宋_GB2312" w:hAnsi="宋体" w:eastAsia="仿宋_GB2312" w:cs="Times New Roman"/>
                <w:sz w:val="24"/>
                <w:szCs w:val="24"/>
                <w:lang w:eastAsia="zh-CN"/>
              </w:rPr>
              <w:t>本</w:t>
            </w:r>
            <w:r>
              <w:rPr>
                <w:rFonts w:hint="eastAsia" w:ascii="仿宋_GB2312" w:hAnsi="宋体" w:eastAsia="仿宋_GB2312" w:cs="Times New Roman"/>
                <w:sz w:val="24"/>
                <w:szCs w:val="24"/>
              </w:rPr>
              <w:t>养老保险基础养老金最低标准，达到170元/月以上。</w:t>
            </w:r>
            <w:r>
              <w:rPr>
                <w:rFonts w:hint="eastAsia" w:ascii="仿宋_GB2312" w:hAnsi="宋体" w:eastAsia="仿宋_GB2312"/>
                <w:b/>
                <w:sz w:val="24"/>
                <w:szCs w:val="24"/>
              </w:rPr>
              <w:t>（牵头单位：区人力资源社会保障局）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区人力资源社会保障局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自2018年1月1日起，区在省、市最低基础养老金148元的基础上增加25元，即目前区城乡居民基础养老金已提高至每人每月173元。按照三年调整机制计划，预计2019年区城乡居民基础养老金最低标准将再提高22元，提高后达到每人每月195元，具体调整时间待市最新提标文件正式下达后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continue"/>
            <w:vAlign w:val="center"/>
          </w:tcPr>
          <w:p>
            <w:pPr>
              <w:spacing w:line="260" w:lineRule="exact"/>
              <w:rPr>
                <w:rFonts w:ascii="黑体" w:hAnsi="黑体" w:eastAsia="黑体" w:cs="Times New Roman"/>
                <w:sz w:val="24"/>
                <w:szCs w:val="24"/>
              </w:rPr>
            </w:pP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实施残疾人精准康复服务，为残疾人提供肢体康复、精神康复、视力康复等32项康复资助服务，受惠残疾人不少于1900例（人次），有康复需求的残疾儿童和持证残疾人接受基本康复服务比例达85%。</w:t>
            </w:r>
            <w:r>
              <w:rPr>
                <w:rFonts w:hint="eastAsia" w:ascii="仿宋_GB2312" w:hAnsi="宋体" w:eastAsia="仿宋_GB2312"/>
                <w:b/>
                <w:sz w:val="24"/>
                <w:szCs w:val="24"/>
              </w:rPr>
              <w:t>（牵头单位：区残联）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黄文坚</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区残联</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区教育局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区民政局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区卫生健康局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已由基层精准康复服务小组对残疾人进行康复需求调查和评估，确定有康复服务需求的残疾人1611人。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3"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continue"/>
            <w:vAlign w:val="center"/>
          </w:tcPr>
          <w:p>
            <w:pPr>
              <w:spacing w:line="260" w:lineRule="exact"/>
              <w:rPr>
                <w:rFonts w:ascii="黑体" w:hAnsi="黑体" w:eastAsia="黑体" w:cs="Times New Roman"/>
                <w:sz w:val="24"/>
                <w:szCs w:val="24"/>
              </w:rPr>
            </w:pP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加快推进蓬江区长者饭堂建设运营工作，力争在各镇（街）布点、全覆盖，完善相关配餐配套，为更多长者服务。</w:t>
            </w:r>
            <w:r>
              <w:rPr>
                <w:rFonts w:hint="eastAsia" w:ascii="仿宋_GB2312" w:hAnsi="宋体" w:eastAsia="仿宋_GB2312"/>
                <w:b/>
                <w:sz w:val="24"/>
                <w:szCs w:val="24"/>
              </w:rPr>
              <w:t>（牵头单位：区民政局）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黄文坚</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区民政局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蓬江区长者饭堂“益食堂”项目计划方案已通过文件方式征询镇街的意见，现正呈区府办并按照《转发&lt;关于印发江门市2018年政府集中采购目录及限额标准的通知&gt;》（蓬江财监〔2018〕19号）有关规定和程序，委托具有相应资质的社会招标代理机构进行代理采购。已于3月28日召开机构动员会议，项目标书正在草拟中，招标工作已启动</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已将蓬江区长者饭堂建设正式纳入镇街考核方案，明确要求各镇、街在年底前必须建成至少一个长者饭堂建设并投入使用。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restart"/>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五、加大力度促进就业创业</w:t>
            </w:r>
          </w:p>
        </w:tc>
        <w:tc>
          <w:tcPr>
            <w:tcW w:w="2410" w:type="dxa"/>
            <w:vAlign w:val="center"/>
          </w:tcPr>
          <w:p>
            <w:pPr>
              <w:spacing w:line="260" w:lineRule="exact"/>
              <w:rPr>
                <w:rFonts w:ascii="仿宋_GB2312" w:hAnsi="宋体" w:eastAsia="仿宋_GB2312" w:cs="Times New Roman"/>
                <w:sz w:val="24"/>
                <w:szCs w:val="24"/>
                <w:highlight w:val="yellow"/>
              </w:rPr>
            </w:pPr>
            <w:r>
              <w:rPr>
                <w:rFonts w:hint="eastAsia" w:ascii="仿宋_GB2312" w:hAnsi="宋体" w:eastAsia="仿宋_GB2312" w:cs="Times New Roman"/>
                <w:sz w:val="24"/>
                <w:szCs w:val="24"/>
              </w:rPr>
              <w:t>工伤保险在全面实施浮动费率的基础上，阶段性下调缴费费率，平均费率再下降20%左右。</w:t>
            </w:r>
            <w:r>
              <w:rPr>
                <w:rFonts w:hint="eastAsia" w:ascii="仿宋_GB2312" w:hAnsi="宋体" w:eastAsia="仿宋_GB2312"/>
                <w:b/>
                <w:sz w:val="24"/>
                <w:szCs w:val="24"/>
              </w:rPr>
              <w:t>（牵头单位：区人力资源社会保障局）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何惠能</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区人力资源社会保障局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区税务局</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根据《转发关于阶段性下调省工伤保险缴费费率的通知》（江人社发〔2018〕569号）和《关于印发江门市工伤保险费率浮动管理办法的通知》（江人社发〔2016〕180号）的文件要求，区从2019年1月1日起，现行缴费费率统一阶段性下调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continue"/>
            <w:vAlign w:val="center"/>
          </w:tcPr>
          <w:p>
            <w:pPr>
              <w:spacing w:line="260" w:lineRule="exact"/>
              <w:rPr>
                <w:rFonts w:ascii="黑体" w:hAnsi="黑体" w:eastAsia="黑体" w:cs="Times New Roman"/>
                <w:sz w:val="24"/>
                <w:szCs w:val="24"/>
              </w:rPr>
            </w:pP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深入推进“圆梦计划”，择优推荐我区务工的优秀新时代工人参加学历继续教育的本、专科学习，打通新生代产业工人成长发展的向上通道。</w:t>
            </w:r>
            <w:r>
              <w:rPr>
                <w:rFonts w:hint="eastAsia" w:ascii="仿宋_GB2312" w:hAnsi="宋体" w:eastAsia="仿宋_GB2312"/>
                <w:b/>
                <w:sz w:val="24"/>
                <w:szCs w:val="24"/>
              </w:rPr>
              <w:t>（牵头单位：团区委）</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林伟勤</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团区委</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根据市的统一工作安排部署，“圆梦计划”拟在度7月开展，现正在统筹协调中。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六、加大精准脱贫攻坚力度</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按照市扶贫办的工作任务，开展低收入人口精准识别，重点在全区范围组织开展低收入人口对象认定。制定完善相关配套帮扶政策，推动相关保障政策和增收政策的落实，建立长效帮扶机制。</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谢树浓</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区扶贫办</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区民政局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起草《关于江门市蓬江区推动扶贫线与低保线“两线合一”改革试点工作的实施方案》、《江门市蓬江区关于推进扶贫线与低保线“两线合一”长效帮扶机制三年扶贫行动方案（2018- 2020年）》，进入征求意见阶段。</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2.切实增加帮扶对象的医疗保障，支付28.56万元为952名2016-2018年精准扶贫帮扶对象购买商业重大疾病保险。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5"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七、加快提升公共文化服务水平</w:t>
            </w:r>
          </w:p>
        </w:tc>
        <w:tc>
          <w:tcPr>
            <w:tcW w:w="2410" w:type="dxa"/>
            <w:vAlign w:val="center"/>
          </w:tcPr>
          <w:p>
            <w:pPr>
              <w:spacing w:line="240" w:lineRule="exact"/>
              <w:rPr>
                <w:rFonts w:ascii="仿宋_GB2312" w:hAnsi="宋体" w:eastAsia="仿宋_GB2312" w:cs="Times New Roman"/>
                <w:sz w:val="24"/>
                <w:szCs w:val="24"/>
              </w:rPr>
            </w:pPr>
            <w:r>
              <w:rPr>
                <w:rFonts w:hint="eastAsia" w:ascii="仿宋_GB2312" w:hAnsi="宋体" w:eastAsia="仿宋_GB2312" w:cs="Times New Roman"/>
                <w:sz w:val="24"/>
                <w:szCs w:val="24"/>
              </w:rPr>
              <w:t>完善区、镇（街）、村（社区）三级文化设施网络，启动区文化中心建设，推动文化馆、图书馆总、分馆和新时代文明实践中心（所、站）建设。</w:t>
            </w:r>
            <w:r>
              <w:rPr>
                <w:rFonts w:hint="eastAsia" w:ascii="仿宋_GB2312" w:hAnsi="宋体" w:eastAsia="仿宋_GB2312"/>
                <w:b/>
                <w:sz w:val="24"/>
                <w:szCs w:val="24"/>
              </w:rPr>
              <w:t>（牵头单位：区文化广电旅游体育局）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区文化广电旅游体育局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区文明办</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1.蓬江区文化中心与市档案中心合建，项目正处设计阶段。</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区图书馆已建成分馆4个，服务点9个，剩余2个分馆及9个服务点已经全部确定选点；区文化馆已建成分馆2个，服务点8个，剩余4个分馆及10个服务点已确定建设选点，部分已动工建设；印发《关于加快蓬江区文化馆图书馆总分馆建设进度的通知》（蓬江文广旅体发〔2019〕18号），定期督促各镇街完成节点任务。</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3.从各镇、街选定6个实践所、12个实践站试点进行重点打造；结合乡村振兴实绩检查工作，对镇、村文明实践所、站建设进行实地考察和指导；区级新时代文明实践中心正在进行场地布置和宣传氛围营造。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0"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七、加快提升公共文化服务水平</w:t>
            </w:r>
          </w:p>
        </w:tc>
        <w:tc>
          <w:tcPr>
            <w:tcW w:w="2410" w:type="dxa"/>
            <w:vAlign w:val="center"/>
          </w:tcPr>
          <w:p>
            <w:pPr>
              <w:spacing w:line="240" w:lineRule="exact"/>
              <w:rPr>
                <w:rFonts w:ascii="仿宋_GB2312" w:hAnsi="宋体" w:eastAsia="仿宋_GB2312" w:cs="Times New Roman"/>
                <w:sz w:val="24"/>
                <w:szCs w:val="24"/>
              </w:rPr>
            </w:pPr>
            <w:r>
              <w:rPr>
                <w:rFonts w:hint="eastAsia" w:ascii="仿宋_GB2312" w:hAnsi="宋体" w:eastAsia="仿宋_GB2312" w:cs="Times New Roman"/>
                <w:sz w:val="24"/>
                <w:szCs w:val="24"/>
              </w:rPr>
              <w:t>举办“百姓文化大舞台”“村居欢乐送”等群众性文体活动，打造“十分钟文化圈”。</w:t>
            </w:r>
            <w:r>
              <w:rPr>
                <w:rFonts w:hint="eastAsia" w:ascii="仿宋_GB2312" w:hAnsi="宋体" w:eastAsia="仿宋_GB2312"/>
                <w:b/>
                <w:sz w:val="24"/>
                <w:szCs w:val="24"/>
              </w:rPr>
              <w:t>（牵头单位：区文化广电旅游体育局）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何  莲</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区文化广电旅游体育局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各镇、街</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1.已完成全年“百姓文化大舞台”群众文化活动计划，将在各镇、街全面铺开“百姓文化大舞台”活动工作。</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2.已在原有的6个“村居欢乐送”示范村（居）基础上，增设4个示范村（居）。</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3.已制定蓬江区第三届“体育节”系列活动、第七届中国侨都健走马拉松大赛（蓬江赛场）等大型群众体育活动初步方案。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9"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八、建设“四好农村路”</w:t>
            </w:r>
          </w:p>
        </w:tc>
        <w:tc>
          <w:tcPr>
            <w:tcW w:w="2410" w:type="dxa"/>
            <w:vAlign w:val="center"/>
          </w:tcPr>
          <w:p>
            <w:pPr>
              <w:spacing w:line="240" w:lineRule="exact"/>
              <w:rPr>
                <w:rFonts w:ascii="仿宋_GB2312" w:hAnsi="宋体" w:eastAsia="仿宋_GB2312" w:cs="Times New Roman"/>
                <w:sz w:val="24"/>
                <w:szCs w:val="24"/>
              </w:rPr>
            </w:pPr>
            <w:r>
              <w:rPr>
                <w:rFonts w:hint="eastAsia" w:ascii="仿宋_GB2312" w:hAnsi="宋体" w:eastAsia="仿宋_GB2312" w:cs="Times New Roman"/>
                <w:sz w:val="24"/>
                <w:szCs w:val="24"/>
              </w:rPr>
              <w:t>改造影响人民群众出行安全的农村公路，完成农村公路15公里的建设任务，全力推进“四好农村路”示范路建设。</w:t>
            </w:r>
            <w:r>
              <w:rPr>
                <w:rFonts w:hint="eastAsia" w:ascii="仿宋_GB2312" w:hAnsi="宋体" w:eastAsia="仿宋_GB2312"/>
                <w:b/>
                <w:sz w:val="24"/>
                <w:szCs w:val="24"/>
              </w:rPr>
              <w:t>（牵头单位：区住房城乡建设局）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亢雁直</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区住房城乡建设局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区自然资源局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区科工商务局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区财政局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区农业农村和水利局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区城市管理和综合执法局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区司法局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棠下镇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荷塘镇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杜阮镇</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潮连街</w:t>
            </w:r>
          </w:p>
        </w:tc>
        <w:tc>
          <w:tcPr>
            <w:tcW w:w="7198"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1.示范路乐公线、棠良线、杜叱线已建成，成为当地一道美丽的风景线。</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2.各镇、街的道路绿化项目及村道道路维修项目已完工。</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3.辖区内所有自然村均已通达公路。</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4.东堤路正在进行水泥主线混凝土路面板860米半幅施工，旧路修补1200平方米，绿化工程及交通安全设施施工工作。</w:t>
            </w:r>
          </w:p>
          <w:p>
            <w:pPr>
              <w:spacing w:line="28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5.棠下镇、杜阮镇的路面硬底化项目及荷塘镇的三坊桥正在大力建设推进中。</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6.已于3月底向市交通运输局报送了《关于上报蓬江区创建“四好农村路”示范县申报材料的报告》及《广东省创建“四好农村路”示范县申报表》。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9"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九、加大政务便民服务力度</w:t>
            </w:r>
          </w:p>
        </w:tc>
        <w:tc>
          <w:tcPr>
            <w:tcW w:w="2410" w:type="dxa"/>
            <w:vAlign w:val="center"/>
          </w:tcPr>
          <w:p>
            <w:pPr>
              <w:spacing w:line="250" w:lineRule="exact"/>
              <w:rPr>
                <w:rFonts w:ascii="仿宋_GB2312" w:hAnsi="宋体" w:eastAsia="仿宋_GB2312" w:cs="Times New Roman"/>
                <w:sz w:val="24"/>
                <w:szCs w:val="24"/>
              </w:rPr>
            </w:pPr>
            <w:r>
              <w:rPr>
                <w:rFonts w:hint="eastAsia" w:ascii="仿宋_GB2312" w:hAnsi="宋体" w:eastAsia="仿宋_GB2312" w:cs="Times New Roman"/>
                <w:sz w:val="24"/>
                <w:szCs w:val="24"/>
              </w:rPr>
              <w:t>实施“数字政府”综合改革，拓展“一网通办”和“一窗通办”，推进“马上办、网上办、就近办、一次办”的“四办”便民服务。依托法人一门式服务平台，进一步整合涉税业务，提高企业开办便利度。进一步丰富“十分钟便民便企服务圈”，向下推动更多政务服务向镇（街）、村（社区）一级延伸，优化“侨都之窗”政务服务自助终端布点；向上不断拓展，争取更多市、省级部门支持，实现上级审批事项“受理前移、联网审批”，让本区群众不出区就能办所有事。</w:t>
            </w:r>
            <w:r>
              <w:rPr>
                <w:rFonts w:hint="eastAsia" w:ascii="仿宋_GB2312" w:hAnsi="宋体" w:eastAsia="仿宋_GB2312"/>
                <w:b/>
                <w:sz w:val="24"/>
                <w:szCs w:val="24"/>
              </w:rPr>
              <w:t>（牵头单位：区政务服务数据管理局）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黄达斌</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区政务服务数据管理局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区市场监督管理局</w:t>
            </w:r>
          </w:p>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区税务局</w:t>
            </w:r>
          </w:p>
        </w:tc>
        <w:tc>
          <w:tcPr>
            <w:tcW w:w="7198"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1.按照《印发江门市开办企业压缩至1个工作日示范点建设工作实施方案的通知》（江商改办〔2019〕4号）要求，印发《蓬江区开办企业压缩至1个工作日示范点建设实施方案》，开展新开业企业税务“套餐式”服务。</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2.“侨都之窗”自助终端已在区法人一门式服务中心及各镇（街）公共服务中心实现全覆盖铺设。从服务群众就近办、马上办的角度出发，在人流密集的商业综合体万达广场、汇悦城或业务需求较多的医疗机构，如江门市第二人民医院、蓬江区中西医结合医院和镇卫生院，及贴近群众的政府服务机构法律援助处等推广使用。目前，区共铺设“侨都之窗”150台。截至3月底，区“侨都之窗”共处理业务3.37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3"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restart"/>
            <w:vAlign w:val="center"/>
          </w:tcPr>
          <w:p>
            <w:pPr>
              <w:spacing w:line="260" w:lineRule="exact"/>
              <w:rPr>
                <w:rFonts w:ascii="黑体" w:hAnsi="黑体" w:eastAsia="黑体" w:cs="Times New Roman"/>
                <w:sz w:val="24"/>
                <w:szCs w:val="24"/>
              </w:rPr>
            </w:pPr>
            <w:r>
              <w:rPr>
                <w:rFonts w:hint="eastAsia" w:ascii="黑体" w:hAnsi="黑体" w:eastAsia="黑体" w:cs="Times New Roman"/>
                <w:sz w:val="24"/>
                <w:szCs w:val="24"/>
              </w:rPr>
              <w:t>十、大力推进“厕所革命”</w:t>
            </w:r>
          </w:p>
        </w:tc>
        <w:tc>
          <w:tcPr>
            <w:tcW w:w="2410" w:type="dxa"/>
            <w:vAlign w:val="center"/>
          </w:tcPr>
          <w:p>
            <w:pPr>
              <w:spacing w:line="260" w:lineRule="exact"/>
              <w:rPr>
                <w:rFonts w:ascii="仿宋_GB2312" w:hAnsi="宋体" w:eastAsia="仿宋_GB2312" w:cs="Times New Roman"/>
                <w:sz w:val="24"/>
                <w:szCs w:val="24"/>
              </w:rPr>
            </w:pPr>
            <w:r>
              <w:rPr>
                <w:rFonts w:hint="eastAsia" w:ascii="仿宋_GB2312" w:hAnsi="宋体" w:eastAsia="仿宋_GB2312" w:cs="Times New Roman"/>
                <w:sz w:val="24"/>
                <w:szCs w:val="24"/>
              </w:rPr>
              <w:t>加快老城区公厕建设，不断提升城市公厕服务管理水平，新建和提升改造城市公厕38座。</w:t>
            </w:r>
            <w:r>
              <w:rPr>
                <w:rFonts w:hint="eastAsia" w:ascii="仿宋_GB2312" w:hAnsi="宋体" w:eastAsia="仿宋_GB2312"/>
                <w:b/>
                <w:sz w:val="24"/>
                <w:szCs w:val="24"/>
              </w:rPr>
              <w:t>（牵头单位：区环卫局）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关志钒</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区环卫局</w:t>
            </w:r>
          </w:p>
        </w:tc>
        <w:tc>
          <w:tcPr>
            <w:tcW w:w="7198" w:type="dxa"/>
            <w:vAlign w:val="center"/>
          </w:tcPr>
          <w:p>
            <w:pPr>
              <w:spacing w:line="300" w:lineRule="exact"/>
              <w:ind w:firstLine="481" w:firstLineChars="200"/>
              <w:rPr>
                <w:rFonts w:ascii="仿宋_GB2312" w:hAnsi="黑体" w:eastAsia="仿宋_GB2312" w:cs="Times New Roman"/>
                <w:sz w:val="24"/>
                <w:szCs w:val="24"/>
              </w:rPr>
            </w:pPr>
            <w:r>
              <w:rPr>
                <w:rFonts w:hint="eastAsia" w:ascii="仿宋_GB2312" w:hAnsi="黑体" w:eastAsia="仿宋_GB2312" w:cs="Times New Roman"/>
                <w:b/>
                <w:sz w:val="24"/>
                <w:szCs w:val="24"/>
              </w:rPr>
              <w:t>按时间进度完成。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二期厕所改造工程现有9座正在施工，其中7座处于拆旧阶段，2座正在砌墙和批灰。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7" w:hRule="atLeast"/>
          <w:jc w:val="center"/>
        </w:trPr>
        <w:tc>
          <w:tcPr>
            <w:tcW w:w="567" w:type="dxa"/>
            <w:vAlign w:val="center"/>
          </w:tcPr>
          <w:p>
            <w:pPr>
              <w:numPr>
                <w:ilvl w:val="0"/>
                <w:numId w:val="3"/>
              </w:numPr>
              <w:spacing w:line="260" w:lineRule="exact"/>
              <w:rPr>
                <w:rFonts w:ascii="仿宋_GB2312" w:hAnsi="黑体" w:eastAsia="仿宋_GB2312" w:cs="仿宋_GB2312"/>
                <w:sz w:val="24"/>
                <w:szCs w:val="24"/>
              </w:rPr>
            </w:pPr>
          </w:p>
        </w:tc>
        <w:tc>
          <w:tcPr>
            <w:tcW w:w="992" w:type="dxa"/>
            <w:vMerge w:val="continue"/>
            <w:vAlign w:val="center"/>
          </w:tcPr>
          <w:p>
            <w:pPr>
              <w:spacing w:line="260" w:lineRule="exact"/>
              <w:rPr>
                <w:rFonts w:ascii="黑体" w:hAnsi="黑体" w:eastAsia="黑体" w:cs="Times New Roman"/>
                <w:sz w:val="24"/>
                <w:szCs w:val="24"/>
              </w:rPr>
            </w:pPr>
          </w:p>
        </w:tc>
        <w:tc>
          <w:tcPr>
            <w:tcW w:w="2410" w:type="dxa"/>
            <w:vAlign w:val="center"/>
          </w:tcPr>
          <w:p>
            <w:pPr>
              <w:spacing w:line="260" w:lineRule="exact"/>
              <w:rPr>
                <w:rFonts w:ascii="仿宋_GB2312" w:hAnsi="宋体" w:eastAsia="仿宋_GB2312" w:cs="Times New Roman"/>
                <w:sz w:val="24"/>
                <w:szCs w:val="24"/>
                <w:highlight w:val="yellow"/>
              </w:rPr>
            </w:pPr>
            <w:r>
              <w:rPr>
                <w:rFonts w:hint="eastAsia" w:ascii="仿宋_GB2312" w:hAnsi="宋体" w:eastAsia="仿宋_GB2312" w:cs="Times New Roman"/>
                <w:sz w:val="24"/>
                <w:szCs w:val="24"/>
              </w:rPr>
              <w:t>新建和提升改造乡村公厕12座。</w:t>
            </w:r>
            <w:r>
              <w:rPr>
                <w:rFonts w:hint="eastAsia" w:ascii="仿宋_GB2312" w:hAnsi="宋体" w:eastAsia="仿宋_GB2312"/>
                <w:b/>
                <w:sz w:val="24"/>
                <w:szCs w:val="24"/>
              </w:rPr>
              <w:t>（牵头单位：区农业农村和水利局）</w:t>
            </w:r>
          </w:p>
        </w:tc>
        <w:tc>
          <w:tcPr>
            <w:tcW w:w="1134" w:type="dxa"/>
            <w:vAlign w:val="center"/>
          </w:tcPr>
          <w:p>
            <w:pPr>
              <w:spacing w:line="300" w:lineRule="exact"/>
              <w:jc w:val="center"/>
              <w:rPr>
                <w:rFonts w:ascii="仿宋_GB2312" w:hAnsi="宋体" w:eastAsia="仿宋_GB2312" w:cs="Times New Roman"/>
                <w:sz w:val="24"/>
                <w:szCs w:val="24"/>
              </w:rPr>
            </w:pPr>
            <w:r>
              <w:rPr>
                <w:rFonts w:hint="eastAsia" w:ascii="仿宋_GB2312" w:hAnsi="宋体" w:eastAsia="仿宋_GB2312" w:cs="Times New Roman"/>
                <w:sz w:val="24"/>
                <w:szCs w:val="24"/>
              </w:rPr>
              <w:t>王建新</w:t>
            </w:r>
          </w:p>
        </w:tc>
        <w:tc>
          <w:tcPr>
            <w:tcW w:w="3119" w:type="dxa"/>
            <w:vAlign w:val="center"/>
          </w:tcPr>
          <w:p>
            <w:pPr>
              <w:spacing w:line="300" w:lineRule="exact"/>
              <w:ind w:left="-107" w:leftChars="-51" w:right="-82" w:rightChars="-39"/>
              <w:jc w:val="center"/>
              <w:rPr>
                <w:rFonts w:ascii="仿宋_GB2312" w:hAnsi="黑体" w:eastAsia="仿宋_GB2312" w:cs="Times New Roman"/>
                <w:sz w:val="24"/>
                <w:szCs w:val="24"/>
              </w:rPr>
            </w:pPr>
            <w:r>
              <w:rPr>
                <w:rFonts w:hint="eastAsia" w:ascii="仿宋_GB2312" w:hAnsi="黑体" w:eastAsia="仿宋_GB2312" w:cs="Times New Roman"/>
                <w:sz w:val="24"/>
                <w:szCs w:val="24"/>
              </w:rPr>
              <w:t>区农业农村和水利局</w:t>
            </w:r>
          </w:p>
        </w:tc>
        <w:tc>
          <w:tcPr>
            <w:tcW w:w="7198" w:type="dxa"/>
            <w:vAlign w:val="center"/>
          </w:tcPr>
          <w:p>
            <w:pPr>
              <w:spacing w:line="280" w:lineRule="exact"/>
              <w:ind w:firstLine="481" w:firstLineChars="200"/>
              <w:rPr>
                <w:rFonts w:ascii="仿宋_GB2312" w:hAnsi="黑体" w:eastAsia="仿宋_GB2312" w:cs="Times New Roman"/>
                <w:b/>
                <w:sz w:val="24"/>
                <w:szCs w:val="24"/>
              </w:rPr>
            </w:pPr>
            <w:r>
              <w:rPr>
                <w:rFonts w:hint="eastAsia" w:ascii="仿宋_GB2312" w:hAnsi="黑体" w:eastAsia="仿宋_GB2312" w:cs="Times New Roman"/>
                <w:b/>
                <w:sz w:val="24"/>
                <w:szCs w:val="24"/>
              </w:rPr>
              <w:t>已完成。</w:t>
            </w:r>
          </w:p>
          <w:p>
            <w:pPr>
              <w:spacing w:line="300" w:lineRule="exact"/>
              <w:ind w:firstLine="480" w:firstLineChars="200"/>
              <w:rPr>
                <w:rFonts w:ascii="仿宋_GB2312" w:hAnsi="黑体" w:eastAsia="仿宋_GB2312" w:cs="Times New Roman"/>
                <w:sz w:val="24"/>
                <w:szCs w:val="24"/>
              </w:rPr>
            </w:pPr>
            <w:r>
              <w:rPr>
                <w:rFonts w:hint="eastAsia" w:ascii="仿宋_GB2312" w:hAnsi="黑体" w:eastAsia="仿宋_GB2312" w:cs="Times New Roman"/>
                <w:sz w:val="24"/>
                <w:szCs w:val="24"/>
              </w:rPr>
              <w:t>已完成12座乡村公厕建设工作，共投入313万元。</w:t>
            </w:r>
          </w:p>
        </w:tc>
      </w:tr>
    </w:tbl>
    <w:p>
      <w:pPr>
        <w:spacing w:line="160" w:lineRule="exact"/>
        <w:rPr>
          <w:rFonts w:ascii="仿宋_GB2312" w:hAnsi="宋体" w:eastAsia="仿宋_GB2312" w:cs="Times New Roman"/>
          <w:sz w:val="28"/>
          <w:szCs w:val="28"/>
        </w:rPr>
      </w:pPr>
    </w:p>
    <w:p>
      <w:pPr>
        <w:spacing w:line="300" w:lineRule="exact"/>
        <w:rPr>
          <w:rFonts w:ascii="仿宋_GB2312" w:hAnsi="宋体" w:eastAsia="仿宋_GB2312" w:cs="仿宋_GB2312"/>
          <w:sz w:val="28"/>
          <w:szCs w:val="28"/>
        </w:rPr>
      </w:pPr>
      <w:r>
        <w:rPr>
          <w:rFonts w:hint="eastAsia" w:ascii="仿宋_GB2312" w:hAnsi="宋体" w:eastAsia="仿宋_GB2312" w:cs="仿宋_GB2312"/>
          <w:sz w:val="28"/>
          <w:szCs w:val="28"/>
        </w:rPr>
        <w:t>说明：1.同一项目有多个责任单位的，排首单位为牵头责任单位并负责报送工作进展情况。</w:t>
      </w:r>
    </w:p>
    <w:p>
      <w:pPr>
        <w:spacing w:line="300" w:lineRule="exact"/>
        <w:ind w:firstLine="840" w:firstLineChars="300"/>
        <w:rPr>
          <w:rFonts w:ascii="仿宋_GB2312" w:hAnsi="宋体" w:eastAsia="仿宋_GB2312" w:cs="仿宋_GB2312"/>
          <w:sz w:val="28"/>
          <w:szCs w:val="28"/>
        </w:rPr>
      </w:pPr>
      <w:r>
        <w:rPr>
          <w:rFonts w:hint="eastAsia" w:ascii="仿宋_GB2312" w:hAnsi="宋体" w:eastAsia="仿宋_GB2312" w:cs="仿宋_GB2312"/>
          <w:sz w:val="28"/>
          <w:szCs w:val="28"/>
        </w:rPr>
        <w:t>2.区主要指标、市重点项目由区发改局具体牵头督办；区民生实事由区政府办公室社会事务股具体牵头督办。</w:t>
      </w:r>
    </w:p>
    <w:p>
      <w:pPr>
        <w:widowControl/>
        <w:jc w:val="left"/>
        <w:rPr>
          <w:rFonts w:ascii="仿宋_GB2312" w:hAnsi="宋体" w:eastAsia="仿宋_GB2312" w:cs="仿宋_GB2312"/>
          <w:sz w:val="28"/>
          <w:szCs w:val="28"/>
        </w:rPr>
      </w:pPr>
    </w:p>
    <w:sectPr>
      <w:pgSz w:w="16838" w:h="11906" w:orient="landscape"/>
      <w:pgMar w:top="1134" w:right="1134" w:bottom="1134" w:left="1134" w:header="851" w:footer="1588"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Tahoma">
    <w:altName w:val="DejaVu Sans"/>
    <w:panose1 w:val="020B0604030504040204"/>
    <w:charset w:val="00"/>
    <w:family w:val="swiss"/>
    <w:pitch w:val="default"/>
    <w:sig w:usb0="00000000" w:usb1="00000000"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0838037"/>
      <w:docPartObj>
        <w:docPartGallery w:val="autotext"/>
      </w:docPartObj>
    </w:sdtPr>
    <w:sdtEndPr>
      <w:rPr>
        <w:rFonts w:ascii="Times New Roman" w:hAnsi="Times New Roman" w:cs="Times New Roman"/>
        <w:sz w:val="24"/>
        <w:szCs w:val="24"/>
      </w:rPr>
    </w:sdtEndPr>
    <w:sdtContent>
      <w:p>
        <w:pPr>
          <w:pStyle w:val="12"/>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51 -</w:t>
        </w:r>
        <w:r>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cs="Times New Roman"/>
        <w:sz w:val="24"/>
        <w:szCs w:val="24"/>
      </w:rPr>
    </w:sdtEndPr>
    <w:sdtContent>
      <w:p>
        <w:pPr>
          <w:pStyle w:val="12"/>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52 -</w:t>
        </w:r>
        <w:r>
          <w:rPr>
            <w:rFonts w:ascii="Times New Roman" w:hAnsi="Times New Roman" w:cs="Times New Roman"/>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DD7C66"/>
    <w:multiLevelType w:val="multilevel"/>
    <w:tmpl w:val="2BDD7C66"/>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4B317E5"/>
    <w:multiLevelType w:val="multilevel"/>
    <w:tmpl w:val="54B317E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0626C52"/>
    <w:multiLevelType w:val="multilevel"/>
    <w:tmpl w:val="60626C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oNotHyphenateCaps/>
  <w:evenAndOddHeaders w:val="1"/>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130"/>
    <w:rsid w:val="00002F3B"/>
    <w:rsid w:val="00014485"/>
    <w:rsid w:val="00015076"/>
    <w:rsid w:val="00015981"/>
    <w:rsid w:val="00017E3D"/>
    <w:rsid w:val="00017E65"/>
    <w:rsid w:val="00020AF1"/>
    <w:rsid w:val="000257F7"/>
    <w:rsid w:val="000269CC"/>
    <w:rsid w:val="0003019C"/>
    <w:rsid w:val="00030D6A"/>
    <w:rsid w:val="00033DE1"/>
    <w:rsid w:val="0004093A"/>
    <w:rsid w:val="000416BA"/>
    <w:rsid w:val="00042F7D"/>
    <w:rsid w:val="00043A9F"/>
    <w:rsid w:val="00047941"/>
    <w:rsid w:val="0005248B"/>
    <w:rsid w:val="000526BD"/>
    <w:rsid w:val="00060874"/>
    <w:rsid w:val="0006144E"/>
    <w:rsid w:val="000619E9"/>
    <w:rsid w:val="00071B6F"/>
    <w:rsid w:val="00071F88"/>
    <w:rsid w:val="000737B5"/>
    <w:rsid w:val="00083206"/>
    <w:rsid w:val="00084B99"/>
    <w:rsid w:val="00085B3B"/>
    <w:rsid w:val="00087F27"/>
    <w:rsid w:val="00090462"/>
    <w:rsid w:val="00095DC2"/>
    <w:rsid w:val="000975B0"/>
    <w:rsid w:val="000A0712"/>
    <w:rsid w:val="000A17FC"/>
    <w:rsid w:val="000A1992"/>
    <w:rsid w:val="000A1DAE"/>
    <w:rsid w:val="000A1F4D"/>
    <w:rsid w:val="000A46B5"/>
    <w:rsid w:val="000A4B04"/>
    <w:rsid w:val="000B2B34"/>
    <w:rsid w:val="000B2E6A"/>
    <w:rsid w:val="000B3904"/>
    <w:rsid w:val="000B7B9D"/>
    <w:rsid w:val="000C0571"/>
    <w:rsid w:val="000C68B6"/>
    <w:rsid w:val="000D2172"/>
    <w:rsid w:val="000E30EC"/>
    <w:rsid w:val="000E39B8"/>
    <w:rsid w:val="000E51F8"/>
    <w:rsid w:val="000F3017"/>
    <w:rsid w:val="000F456F"/>
    <w:rsid w:val="000F5BB6"/>
    <w:rsid w:val="000F6B91"/>
    <w:rsid w:val="000F7D9C"/>
    <w:rsid w:val="00100A89"/>
    <w:rsid w:val="00103219"/>
    <w:rsid w:val="00111CF1"/>
    <w:rsid w:val="00112F84"/>
    <w:rsid w:val="00120210"/>
    <w:rsid w:val="00120F76"/>
    <w:rsid w:val="001220E0"/>
    <w:rsid w:val="0012509A"/>
    <w:rsid w:val="00125777"/>
    <w:rsid w:val="001262F9"/>
    <w:rsid w:val="00127A3F"/>
    <w:rsid w:val="001302D3"/>
    <w:rsid w:val="001339BD"/>
    <w:rsid w:val="00134410"/>
    <w:rsid w:val="001352ED"/>
    <w:rsid w:val="0013562E"/>
    <w:rsid w:val="00136738"/>
    <w:rsid w:val="0013729A"/>
    <w:rsid w:val="00137AB3"/>
    <w:rsid w:val="00140503"/>
    <w:rsid w:val="00140678"/>
    <w:rsid w:val="00143493"/>
    <w:rsid w:val="0015069B"/>
    <w:rsid w:val="0015127A"/>
    <w:rsid w:val="00152860"/>
    <w:rsid w:val="001568F4"/>
    <w:rsid w:val="001604B7"/>
    <w:rsid w:val="001623DC"/>
    <w:rsid w:val="00162879"/>
    <w:rsid w:val="00163C8A"/>
    <w:rsid w:val="001738E7"/>
    <w:rsid w:val="001761D8"/>
    <w:rsid w:val="0017769A"/>
    <w:rsid w:val="00181166"/>
    <w:rsid w:val="00181FE0"/>
    <w:rsid w:val="00182129"/>
    <w:rsid w:val="00182130"/>
    <w:rsid w:val="0018360E"/>
    <w:rsid w:val="001845BD"/>
    <w:rsid w:val="001860DD"/>
    <w:rsid w:val="00190F89"/>
    <w:rsid w:val="0019220A"/>
    <w:rsid w:val="00193436"/>
    <w:rsid w:val="001936B7"/>
    <w:rsid w:val="001B1285"/>
    <w:rsid w:val="001B17D1"/>
    <w:rsid w:val="001C522D"/>
    <w:rsid w:val="001D323A"/>
    <w:rsid w:val="001D4F8E"/>
    <w:rsid w:val="001D7206"/>
    <w:rsid w:val="001E06AE"/>
    <w:rsid w:val="001E46B2"/>
    <w:rsid w:val="001E5631"/>
    <w:rsid w:val="001E73DF"/>
    <w:rsid w:val="001F2428"/>
    <w:rsid w:val="001F3019"/>
    <w:rsid w:val="001F439B"/>
    <w:rsid w:val="001F6D2B"/>
    <w:rsid w:val="00202DD5"/>
    <w:rsid w:val="00206DCE"/>
    <w:rsid w:val="00211FD0"/>
    <w:rsid w:val="00217ACA"/>
    <w:rsid w:val="00222AF2"/>
    <w:rsid w:val="00225329"/>
    <w:rsid w:val="00231A2E"/>
    <w:rsid w:val="00232E2D"/>
    <w:rsid w:val="00234F5F"/>
    <w:rsid w:val="00236C56"/>
    <w:rsid w:val="0024214E"/>
    <w:rsid w:val="002422FE"/>
    <w:rsid w:val="00242D0A"/>
    <w:rsid w:val="00244B2C"/>
    <w:rsid w:val="0024568B"/>
    <w:rsid w:val="00245C83"/>
    <w:rsid w:val="00255F0D"/>
    <w:rsid w:val="0025766A"/>
    <w:rsid w:val="00257FCF"/>
    <w:rsid w:val="00260440"/>
    <w:rsid w:val="0026153D"/>
    <w:rsid w:val="002616D7"/>
    <w:rsid w:val="00262848"/>
    <w:rsid w:val="002774EF"/>
    <w:rsid w:val="0028189E"/>
    <w:rsid w:val="0028373B"/>
    <w:rsid w:val="00284C40"/>
    <w:rsid w:val="0028613B"/>
    <w:rsid w:val="00291164"/>
    <w:rsid w:val="0029130B"/>
    <w:rsid w:val="002933B2"/>
    <w:rsid w:val="0029535B"/>
    <w:rsid w:val="0029614A"/>
    <w:rsid w:val="00297630"/>
    <w:rsid w:val="00297DFA"/>
    <w:rsid w:val="002A3FB3"/>
    <w:rsid w:val="002A48AC"/>
    <w:rsid w:val="002A7AC3"/>
    <w:rsid w:val="002B0130"/>
    <w:rsid w:val="002B152F"/>
    <w:rsid w:val="002C4646"/>
    <w:rsid w:val="002C70EC"/>
    <w:rsid w:val="002D159E"/>
    <w:rsid w:val="002D30BB"/>
    <w:rsid w:val="002D44F5"/>
    <w:rsid w:val="002D4E61"/>
    <w:rsid w:val="002E4CE0"/>
    <w:rsid w:val="002E5265"/>
    <w:rsid w:val="002F00F6"/>
    <w:rsid w:val="002F147D"/>
    <w:rsid w:val="002F2731"/>
    <w:rsid w:val="002F6A41"/>
    <w:rsid w:val="002F6D46"/>
    <w:rsid w:val="003020EC"/>
    <w:rsid w:val="00305263"/>
    <w:rsid w:val="003078F6"/>
    <w:rsid w:val="003107F4"/>
    <w:rsid w:val="00316559"/>
    <w:rsid w:val="003211AC"/>
    <w:rsid w:val="00322DFD"/>
    <w:rsid w:val="0032362F"/>
    <w:rsid w:val="00323B13"/>
    <w:rsid w:val="003250B5"/>
    <w:rsid w:val="0033214E"/>
    <w:rsid w:val="00335092"/>
    <w:rsid w:val="003401E8"/>
    <w:rsid w:val="0034185F"/>
    <w:rsid w:val="00345163"/>
    <w:rsid w:val="00346BC0"/>
    <w:rsid w:val="003506DB"/>
    <w:rsid w:val="00350D4A"/>
    <w:rsid w:val="00353256"/>
    <w:rsid w:val="00356E42"/>
    <w:rsid w:val="003616AA"/>
    <w:rsid w:val="00361DBD"/>
    <w:rsid w:val="00361F29"/>
    <w:rsid w:val="00365615"/>
    <w:rsid w:val="00366D55"/>
    <w:rsid w:val="00367B32"/>
    <w:rsid w:val="00370728"/>
    <w:rsid w:val="0037715D"/>
    <w:rsid w:val="00380051"/>
    <w:rsid w:val="00383CD9"/>
    <w:rsid w:val="00386A98"/>
    <w:rsid w:val="00387DB6"/>
    <w:rsid w:val="00390412"/>
    <w:rsid w:val="00394E48"/>
    <w:rsid w:val="003968CB"/>
    <w:rsid w:val="003A08A2"/>
    <w:rsid w:val="003A6D93"/>
    <w:rsid w:val="003B2DC1"/>
    <w:rsid w:val="003B539D"/>
    <w:rsid w:val="003B68FA"/>
    <w:rsid w:val="003C1A0E"/>
    <w:rsid w:val="003D34E2"/>
    <w:rsid w:val="003D42EC"/>
    <w:rsid w:val="003D52FD"/>
    <w:rsid w:val="003E04A6"/>
    <w:rsid w:val="003E6ACB"/>
    <w:rsid w:val="003F063B"/>
    <w:rsid w:val="003F2A29"/>
    <w:rsid w:val="003F3F9C"/>
    <w:rsid w:val="00402294"/>
    <w:rsid w:val="00402733"/>
    <w:rsid w:val="00403319"/>
    <w:rsid w:val="00407839"/>
    <w:rsid w:val="00410E45"/>
    <w:rsid w:val="004201CD"/>
    <w:rsid w:val="00421CFE"/>
    <w:rsid w:val="0042775A"/>
    <w:rsid w:val="0043200B"/>
    <w:rsid w:val="00433612"/>
    <w:rsid w:val="00433F03"/>
    <w:rsid w:val="004359D7"/>
    <w:rsid w:val="004360C9"/>
    <w:rsid w:val="00437D7C"/>
    <w:rsid w:val="00441C37"/>
    <w:rsid w:val="00443219"/>
    <w:rsid w:val="00443619"/>
    <w:rsid w:val="00444EF8"/>
    <w:rsid w:val="00450A9F"/>
    <w:rsid w:val="00453BA5"/>
    <w:rsid w:val="00454E2A"/>
    <w:rsid w:val="00464097"/>
    <w:rsid w:val="00465984"/>
    <w:rsid w:val="004712D1"/>
    <w:rsid w:val="00472A04"/>
    <w:rsid w:val="00485376"/>
    <w:rsid w:val="00485534"/>
    <w:rsid w:val="004919D7"/>
    <w:rsid w:val="00495C26"/>
    <w:rsid w:val="00495F61"/>
    <w:rsid w:val="00497583"/>
    <w:rsid w:val="004A04E5"/>
    <w:rsid w:val="004A6084"/>
    <w:rsid w:val="004A764C"/>
    <w:rsid w:val="004B0513"/>
    <w:rsid w:val="004B4965"/>
    <w:rsid w:val="004B693F"/>
    <w:rsid w:val="004C1477"/>
    <w:rsid w:val="004C1FA1"/>
    <w:rsid w:val="004C3C30"/>
    <w:rsid w:val="004C4613"/>
    <w:rsid w:val="004C5222"/>
    <w:rsid w:val="004C6101"/>
    <w:rsid w:val="004D0FDF"/>
    <w:rsid w:val="004D23C9"/>
    <w:rsid w:val="004D6E8F"/>
    <w:rsid w:val="004E0A64"/>
    <w:rsid w:val="004E63E6"/>
    <w:rsid w:val="004E7E38"/>
    <w:rsid w:val="004F14DC"/>
    <w:rsid w:val="004F4817"/>
    <w:rsid w:val="004F5870"/>
    <w:rsid w:val="004F61CC"/>
    <w:rsid w:val="0050089A"/>
    <w:rsid w:val="0050291E"/>
    <w:rsid w:val="00502D37"/>
    <w:rsid w:val="00505FCD"/>
    <w:rsid w:val="005068EB"/>
    <w:rsid w:val="005071A8"/>
    <w:rsid w:val="00510A69"/>
    <w:rsid w:val="00510F45"/>
    <w:rsid w:val="0051223E"/>
    <w:rsid w:val="0051242E"/>
    <w:rsid w:val="00516F61"/>
    <w:rsid w:val="00520DB9"/>
    <w:rsid w:val="0052594F"/>
    <w:rsid w:val="00530093"/>
    <w:rsid w:val="005344DF"/>
    <w:rsid w:val="0053555D"/>
    <w:rsid w:val="005365A5"/>
    <w:rsid w:val="00536E53"/>
    <w:rsid w:val="00536FC8"/>
    <w:rsid w:val="005419C7"/>
    <w:rsid w:val="005421C3"/>
    <w:rsid w:val="005441C9"/>
    <w:rsid w:val="00546655"/>
    <w:rsid w:val="005468BC"/>
    <w:rsid w:val="00547D40"/>
    <w:rsid w:val="00553FAE"/>
    <w:rsid w:val="005602EF"/>
    <w:rsid w:val="00560D65"/>
    <w:rsid w:val="00571390"/>
    <w:rsid w:val="0057480F"/>
    <w:rsid w:val="00574B70"/>
    <w:rsid w:val="0058566B"/>
    <w:rsid w:val="00585B15"/>
    <w:rsid w:val="00585C19"/>
    <w:rsid w:val="00586A96"/>
    <w:rsid w:val="0059181D"/>
    <w:rsid w:val="00595D79"/>
    <w:rsid w:val="00595F0D"/>
    <w:rsid w:val="00597104"/>
    <w:rsid w:val="00597CF7"/>
    <w:rsid w:val="005A2C1F"/>
    <w:rsid w:val="005A4EE7"/>
    <w:rsid w:val="005B41D3"/>
    <w:rsid w:val="005B5AAD"/>
    <w:rsid w:val="005B6A20"/>
    <w:rsid w:val="005C3B37"/>
    <w:rsid w:val="005C72D1"/>
    <w:rsid w:val="005D0305"/>
    <w:rsid w:val="005D1C5A"/>
    <w:rsid w:val="005D2623"/>
    <w:rsid w:val="005D488F"/>
    <w:rsid w:val="005E35D5"/>
    <w:rsid w:val="005E6CD1"/>
    <w:rsid w:val="005E6D75"/>
    <w:rsid w:val="005F2D10"/>
    <w:rsid w:val="005F351C"/>
    <w:rsid w:val="005F6F32"/>
    <w:rsid w:val="005F75AE"/>
    <w:rsid w:val="005F7754"/>
    <w:rsid w:val="005F7C4F"/>
    <w:rsid w:val="00604EE6"/>
    <w:rsid w:val="006061A0"/>
    <w:rsid w:val="00611073"/>
    <w:rsid w:val="0061494D"/>
    <w:rsid w:val="00614F83"/>
    <w:rsid w:val="00617733"/>
    <w:rsid w:val="00620D86"/>
    <w:rsid w:val="00621D94"/>
    <w:rsid w:val="00623BBC"/>
    <w:rsid w:val="00626A85"/>
    <w:rsid w:val="00630ADA"/>
    <w:rsid w:val="00634235"/>
    <w:rsid w:val="0063539C"/>
    <w:rsid w:val="00636628"/>
    <w:rsid w:val="00642AE1"/>
    <w:rsid w:val="00642D51"/>
    <w:rsid w:val="0064502D"/>
    <w:rsid w:val="00647B88"/>
    <w:rsid w:val="006502F7"/>
    <w:rsid w:val="0065674B"/>
    <w:rsid w:val="006615FC"/>
    <w:rsid w:val="00661939"/>
    <w:rsid w:val="00662637"/>
    <w:rsid w:val="00662BF4"/>
    <w:rsid w:val="006671C9"/>
    <w:rsid w:val="00673494"/>
    <w:rsid w:val="00673C49"/>
    <w:rsid w:val="00677006"/>
    <w:rsid w:val="00683340"/>
    <w:rsid w:val="00685732"/>
    <w:rsid w:val="0068726B"/>
    <w:rsid w:val="00687FB6"/>
    <w:rsid w:val="00694F9E"/>
    <w:rsid w:val="00696161"/>
    <w:rsid w:val="006A4956"/>
    <w:rsid w:val="006B4535"/>
    <w:rsid w:val="006C0D88"/>
    <w:rsid w:val="006C13BD"/>
    <w:rsid w:val="006C3BB7"/>
    <w:rsid w:val="006C4EFF"/>
    <w:rsid w:val="006C50F4"/>
    <w:rsid w:val="006D0176"/>
    <w:rsid w:val="006D14C2"/>
    <w:rsid w:val="006D353B"/>
    <w:rsid w:val="006D3D86"/>
    <w:rsid w:val="006D6A30"/>
    <w:rsid w:val="006E46FB"/>
    <w:rsid w:val="006E653F"/>
    <w:rsid w:val="006E65F0"/>
    <w:rsid w:val="006E71E8"/>
    <w:rsid w:val="006E76EC"/>
    <w:rsid w:val="006F1A79"/>
    <w:rsid w:val="006F4236"/>
    <w:rsid w:val="006F5BB1"/>
    <w:rsid w:val="006F639B"/>
    <w:rsid w:val="006F726B"/>
    <w:rsid w:val="007002A1"/>
    <w:rsid w:val="0070670D"/>
    <w:rsid w:val="007074CE"/>
    <w:rsid w:val="00707E0A"/>
    <w:rsid w:val="007115DE"/>
    <w:rsid w:val="007245FD"/>
    <w:rsid w:val="007260F9"/>
    <w:rsid w:val="00730674"/>
    <w:rsid w:val="0073129F"/>
    <w:rsid w:val="00731CB7"/>
    <w:rsid w:val="007343CF"/>
    <w:rsid w:val="007345FC"/>
    <w:rsid w:val="00743C78"/>
    <w:rsid w:val="00745890"/>
    <w:rsid w:val="00747C14"/>
    <w:rsid w:val="007523CE"/>
    <w:rsid w:val="00753CD4"/>
    <w:rsid w:val="00755371"/>
    <w:rsid w:val="00755BC1"/>
    <w:rsid w:val="00757CCD"/>
    <w:rsid w:val="007614DD"/>
    <w:rsid w:val="00762892"/>
    <w:rsid w:val="007632EE"/>
    <w:rsid w:val="00763885"/>
    <w:rsid w:val="0076733F"/>
    <w:rsid w:val="00775638"/>
    <w:rsid w:val="00775DE6"/>
    <w:rsid w:val="00784528"/>
    <w:rsid w:val="00785000"/>
    <w:rsid w:val="00785802"/>
    <w:rsid w:val="00790424"/>
    <w:rsid w:val="00793558"/>
    <w:rsid w:val="00796238"/>
    <w:rsid w:val="00796240"/>
    <w:rsid w:val="007B186E"/>
    <w:rsid w:val="007B1FA4"/>
    <w:rsid w:val="007B35C6"/>
    <w:rsid w:val="007B46E3"/>
    <w:rsid w:val="007C0158"/>
    <w:rsid w:val="007C5A4E"/>
    <w:rsid w:val="007D1D71"/>
    <w:rsid w:val="007D23D9"/>
    <w:rsid w:val="007D328B"/>
    <w:rsid w:val="007D610D"/>
    <w:rsid w:val="007D738A"/>
    <w:rsid w:val="007E5AA3"/>
    <w:rsid w:val="007F0BA4"/>
    <w:rsid w:val="007F7446"/>
    <w:rsid w:val="007F7CA1"/>
    <w:rsid w:val="0080425C"/>
    <w:rsid w:val="00805044"/>
    <w:rsid w:val="00805F88"/>
    <w:rsid w:val="0080693C"/>
    <w:rsid w:val="00811A95"/>
    <w:rsid w:val="00813C72"/>
    <w:rsid w:val="008149E6"/>
    <w:rsid w:val="0081531D"/>
    <w:rsid w:val="00820E59"/>
    <w:rsid w:val="0082182D"/>
    <w:rsid w:val="00823480"/>
    <w:rsid w:val="00823ECA"/>
    <w:rsid w:val="00824AF0"/>
    <w:rsid w:val="00825CB8"/>
    <w:rsid w:val="00832558"/>
    <w:rsid w:val="00836E39"/>
    <w:rsid w:val="00837242"/>
    <w:rsid w:val="00840FD7"/>
    <w:rsid w:val="008414CB"/>
    <w:rsid w:val="008421CF"/>
    <w:rsid w:val="00845576"/>
    <w:rsid w:val="008470A1"/>
    <w:rsid w:val="00850CB4"/>
    <w:rsid w:val="00852080"/>
    <w:rsid w:val="008577B2"/>
    <w:rsid w:val="00860062"/>
    <w:rsid w:val="0086177D"/>
    <w:rsid w:val="008708E4"/>
    <w:rsid w:val="00873302"/>
    <w:rsid w:val="0087541E"/>
    <w:rsid w:val="0088098F"/>
    <w:rsid w:val="00887EF5"/>
    <w:rsid w:val="00890496"/>
    <w:rsid w:val="00890C30"/>
    <w:rsid w:val="008960AD"/>
    <w:rsid w:val="008A526D"/>
    <w:rsid w:val="008B089C"/>
    <w:rsid w:val="008B5091"/>
    <w:rsid w:val="008C024A"/>
    <w:rsid w:val="008C4ACB"/>
    <w:rsid w:val="008C6F42"/>
    <w:rsid w:val="008D27A6"/>
    <w:rsid w:val="008D52D4"/>
    <w:rsid w:val="008D6B9C"/>
    <w:rsid w:val="008E07B3"/>
    <w:rsid w:val="008E2491"/>
    <w:rsid w:val="008E6BF4"/>
    <w:rsid w:val="008F273C"/>
    <w:rsid w:val="00901563"/>
    <w:rsid w:val="009019C0"/>
    <w:rsid w:val="009030B1"/>
    <w:rsid w:val="00903204"/>
    <w:rsid w:val="0090575A"/>
    <w:rsid w:val="00910EBF"/>
    <w:rsid w:val="009120D4"/>
    <w:rsid w:val="00913122"/>
    <w:rsid w:val="00913A82"/>
    <w:rsid w:val="00913F71"/>
    <w:rsid w:val="009159E5"/>
    <w:rsid w:val="00916F78"/>
    <w:rsid w:val="0091737A"/>
    <w:rsid w:val="0091748D"/>
    <w:rsid w:val="009210F2"/>
    <w:rsid w:val="009220FD"/>
    <w:rsid w:val="0092459C"/>
    <w:rsid w:val="009256C6"/>
    <w:rsid w:val="00926A4F"/>
    <w:rsid w:val="00930DCC"/>
    <w:rsid w:val="00933F70"/>
    <w:rsid w:val="0093414A"/>
    <w:rsid w:val="00934C2A"/>
    <w:rsid w:val="009351A7"/>
    <w:rsid w:val="00937B62"/>
    <w:rsid w:val="00941CF7"/>
    <w:rsid w:val="00942F63"/>
    <w:rsid w:val="00943FBC"/>
    <w:rsid w:val="00947F69"/>
    <w:rsid w:val="00950A0D"/>
    <w:rsid w:val="009520A7"/>
    <w:rsid w:val="009524E8"/>
    <w:rsid w:val="00953F7F"/>
    <w:rsid w:val="0096005C"/>
    <w:rsid w:val="009612C9"/>
    <w:rsid w:val="00965F6F"/>
    <w:rsid w:val="009723E7"/>
    <w:rsid w:val="00974CFD"/>
    <w:rsid w:val="0097619F"/>
    <w:rsid w:val="00976227"/>
    <w:rsid w:val="009815A3"/>
    <w:rsid w:val="00981E4B"/>
    <w:rsid w:val="009836FD"/>
    <w:rsid w:val="009932B2"/>
    <w:rsid w:val="0099444A"/>
    <w:rsid w:val="009A159D"/>
    <w:rsid w:val="009A555F"/>
    <w:rsid w:val="009A64C4"/>
    <w:rsid w:val="009A7E98"/>
    <w:rsid w:val="009B264E"/>
    <w:rsid w:val="009B6502"/>
    <w:rsid w:val="009B7D87"/>
    <w:rsid w:val="009C1E49"/>
    <w:rsid w:val="009C291B"/>
    <w:rsid w:val="009C4FAA"/>
    <w:rsid w:val="009C764E"/>
    <w:rsid w:val="009D28AB"/>
    <w:rsid w:val="009D3955"/>
    <w:rsid w:val="009D79B6"/>
    <w:rsid w:val="009D7A55"/>
    <w:rsid w:val="009E1DB2"/>
    <w:rsid w:val="009E3D02"/>
    <w:rsid w:val="009E4042"/>
    <w:rsid w:val="009E6116"/>
    <w:rsid w:val="009E69B0"/>
    <w:rsid w:val="009F1059"/>
    <w:rsid w:val="009F211E"/>
    <w:rsid w:val="009F2804"/>
    <w:rsid w:val="009F3BD9"/>
    <w:rsid w:val="009F3DF4"/>
    <w:rsid w:val="009F4DBB"/>
    <w:rsid w:val="009F5A50"/>
    <w:rsid w:val="009F6D4C"/>
    <w:rsid w:val="00A01589"/>
    <w:rsid w:val="00A05404"/>
    <w:rsid w:val="00A06A65"/>
    <w:rsid w:val="00A07223"/>
    <w:rsid w:val="00A073B3"/>
    <w:rsid w:val="00A1211F"/>
    <w:rsid w:val="00A148E8"/>
    <w:rsid w:val="00A1501A"/>
    <w:rsid w:val="00A15542"/>
    <w:rsid w:val="00A16F42"/>
    <w:rsid w:val="00A32EDD"/>
    <w:rsid w:val="00A33ECD"/>
    <w:rsid w:val="00A360D0"/>
    <w:rsid w:val="00A36218"/>
    <w:rsid w:val="00A4340B"/>
    <w:rsid w:val="00A46412"/>
    <w:rsid w:val="00A51EC5"/>
    <w:rsid w:val="00A5213C"/>
    <w:rsid w:val="00A57FAD"/>
    <w:rsid w:val="00A64059"/>
    <w:rsid w:val="00A749F1"/>
    <w:rsid w:val="00A765EF"/>
    <w:rsid w:val="00A77387"/>
    <w:rsid w:val="00A80CB9"/>
    <w:rsid w:val="00A84FA5"/>
    <w:rsid w:val="00A9078C"/>
    <w:rsid w:val="00AA1A3A"/>
    <w:rsid w:val="00AA587F"/>
    <w:rsid w:val="00AA59FB"/>
    <w:rsid w:val="00AB1356"/>
    <w:rsid w:val="00AB2B57"/>
    <w:rsid w:val="00AB6B55"/>
    <w:rsid w:val="00AC05E9"/>
    <w:rsid w:val="00AC30EF"/>
    <w:rsid w:val="00AC445C"/>
    <w:rsid w:val="00AC7D47"/>
    <w:rsid w:val="00AD004B"/>
    <w:rsid w:val="00AE2975"/>
    <w:rsid w:val="00AE450B"/>
    <w:rsid w:val="00AF0CAB"/>
    <w:rsid w:val="00AF1DF7"/>
    <w:rsid w:val="00AF3984"/>
    <w:rsid w:val="00B01052"/>
    <w:rsid w:val="00B069D1"/>
    <w:rsid w:val="00B10CE2"/>
    <w:rsid w:val="00B12972"/>
    <w:rsid w:val="00B1533B"/>
    <w:rsid w:val="00B1599D"/>
    <w:rsid w:val="00B15B04"/>
    <w:rsid w:val="00B17C7D"/>
    <w:rsid w:val="00B221DC"/>
    <w:rsid w:val="00B3069B"/>
    <w:rsid w:val="00B42709"/>
    <w:rsid w:val="00B4480F"/>
    <w:rsid w:val="00B46812"/>
    <w:rsid w:val="00B5308E"/>
    <w:rsid w:val="00B565CA"/>
    <w:rsid w:val="00B57574"/>
    <w:rsid w:val="00B66718"/>
    <w:rsid w:val="00B7033A"/>
    <w:rsid w:val="00B7067C"/>
    <w:rsid w:val="00B75157"/>
    <w:rsid w:val="00B867BB"/>
    <w:rsid w:val="00B90553"/>
    <w:rsid w:val="00B93BC2"/>
    <w:rsid w:val="00B95829"/>
    <w:rsid w:val="00BA3D7C"/>
    <w:rsid w:val="00BA49FC"/>
    <w:rsid w:val="00BB1B7F"/>
    <w:rsid w:val="00BB2EB8"/>
    <w:rsid w:val="00BB67C8"/>
    <w:rsid w:val="00BC0567"/>
    <w:rsid w:val="00BC12FF"/>
    <w:rsid w:val="00BC251C"/>
    <w:rsid w:val="00BC6158"/>
    <w:rsid w:val="00BD0D49"/>
    <w:rsid w:val="00BD1952"/>
    <w:rsid w:val="00BD47AE"/>
    <w:rsid w:val="00BD53E6"/>
    <w:rsid w:val="00BD5CB1"/>
    <w:rsid w:val="00BD7D29"/>
    <w:rsid w:val="00BE36DA"/>
    <w:rsid w:val="00BE48AB"/>
    <w:rsid w:val="00BE49C4"/>
    <w:rsid w:val="00BE4BFC"/>
    <w:rsid w:val="00BE4FB0"/>
    <w:rsid w:val="00BE7ECE"/>
    <w:rsid w:val="00BF5327"/>
    <w:rsid w:val="00BF5737"/>
    <w:rsid w:val="00BF674D"/>
    <w:rsid w:val="00C00251"/>
    <w:rsid w:val="00C025F3"/>
    <w:rsid w:val="00C04915"/>
    <w:rsid w:val="00C07B81"/>
    <w:rsid w:val="00C10701"/>
    <w:rsid w:val="00C11F10"/>
    <w:rsid w:val="00C12AB6"/>
    <w:rsid w:val="00C155AA"/>
    <w:rsid w:val="00C23DE5"/>
    <w:rsid w:val="00C23FE4"/>
    <w:rsid w:val="00C24B4A"/>
    <w:rsid w:val="00C25B06"/>
    <w:rsid w:val="00C264D1"/>
    <w:rsid w:val="00C31551"/>
    <w:rsid w:val="00C32C0E"/>
    <w:rsid w:val="00C40A90"/>
    <w:rsid w:val="00C41841"/>
    <w:rsid w:val="00C4268A"/>
    <w:rsid w:val="00C557B8"/>
    <w:rsid w:val="00C560FD"/>
    <w:rsid w:val="00C56129"/>
    <w:rsid w:val="00C60478"/>
    <w:rsid w:val="00C60FD8"/>
    <w:rsid w:val="00C613D7"/>
    <w:rsid w:val="00C6216B"/>
    <w:rsid w:val="00C6255F"/>
    <w:rsid w:val="00C62B79"/>
    <w:rsid w:val="00C63AE1"/>
    <w:rsid w:val="00C65BDE"/>
    <w:rsid w:val="00C675AE"/>
    <w:rsid w:val="00C75744"/>
    <w:rsid w:val="00C773F1"/>
    <w:rsid w:val="00C7763B"/>
    <w:rsid w:val="00C803F5"/>
    <w:rsid w:val="00C81674"/>
    <w:rsid w:val="00C838CC"/>
    <w:rsid w:val="00C8458F"/>
    <w:rsid w:val="00C8528A"/>
    <w:rsid w:val="00C9295D"/>
    <w:rsid w:val="00C956EB"/>
    <w:rsid w:val="00C970BB"/>
    <w:rsid w:val="00C97230"/>
    <w:rsid w:val="00C97F07"/>
    <w:rsid w:val="00CA0640"/>
    <w:rsid w:val="00CB1694"/>
    <w:rsid w:val="00CB2DBE"/>
    <w:rsid w:val="00CB7CDC"/>
    <w:rsid w:val="00CC1A88"/>
    <w:rsid w:val="00CC46D2"/>
    <w:rsid w:val="00CC7157"/>
    <w:rsid w:val="00CD6483"/>
    <w:rsid w:val="00CE132C"/>
    <w:rsid w:val="00CE1F8B"/>
    <w:rsid w:val="00CE2DFF"/>
    <w:rsid w:val="00CE3981"/>
    <w:rsid w:val="00CE4C99"/>
    <w:rsid w:val="00CE51DB"/>
    <w:rsid w:val="00CE6EDA"/>
    <w:rsid w:val="00CF2056"/>
    <w:rsid w:val="00CF21D3"/>
    <w:rsid w:val="00CF2367"/>
    <w:rsid w:val="00CF32D2"/>
    <w:rsid w:val="00CF411F"/>
    <w:rsid w:val="00CF4E04"/>
    <w:rsid w:val="00CF69C6"/>
    <w:rsid w:val="00D0155F"/>
    <w:rsid w:val="00D01FA3"/>
    <w:rsid w:val="00D03AB4"/>
    <w:rsid w:val="00D05767"/>
    <w:rsid w:val="00D067A3"/>
    <w:rsid w:val="00D114C5"/>
    <w:rsid w:val="00D115A5"/>
    <w:rsid w:val="00D129AF"/>
    <w:rsid w:val="00D13514"/>
    <w:rsid w:val="00D1519D"/>
    <w:rsid w:val="00D23EE8"/>
    <w:rsid w:val="00D3082E"/>
    <w:rsid w:val="00D335E0"/>
    <w:rsid w:val="00D348CA"/>
    <w:rsid w:val="00D415E3"/>
    <w:rsid w:val="00D424F2"/>
    <w:rsid w:val="00D42617"/>
    <w:rsid w:val="00D511F4"/>
    <w:rsid w:val="00D51451"/>
    <w:rsid w:val="00D60513"/>
    <w:rsid w:val="00D63FA6"/>
    <w:rsid w:val="00D6448B"/>
    <w:rsid w:val="00D649AC"/>
    <w:rsid w:val="00D74DE6"/>
    <w:rsid w:val="00D760ED"/>
    <w:rsid w:val="00D776A4"/>
    <w:rsid w:val="00D814E0"/>
    <w:rsid w:val="00D9106F"/>
    <w:rsid w:val="00D91733"/>
    <w:rsid w:val="00D93AD9"/>
    <w:rsid w:val="00D94538"/>
    <w:rsid w:val="00DA0486"/>
    <w:rsid w:val="00DA2029"/>
    <w:rsid w:val="00DB3EAD"/>
    <w:rsid w:val="00DB5DF5"/>
    <w:rsid w:val="00DB64C1"/>
    <w:rsid w:val="00DB6985"/>
    <w:rsid w:val="00DB7F06"/>
    <w:rsid w:val="00DC0B40"/>
    <w:rsid w:val="00DC1CF7"/>
    <w:rsid w:val="00DC2DBB"/>
    <w:rsid w:val="00DC2F73"/>
    <w:rsid w:val="00DC3E97"/>
    <w:rsid w:val="00DC798F"/>
    <w:rsid w:val="00DD088A"/>
    <w:rsid w:val="00DD1412"/>
    <w:rsid w:val="00DD54C6"/>
    <w:rsid w:val="00DD60C1"/>
    <w:rsid w:val="00DE472B"/>
    <w:rsid w:val="00DE4741"/>
    <w:rsid w:val="00DF1884"/>
    <w:rsid w:val="00DF22AE"/>
    <w:rsid w:val="00DF68CD"/>
    <w:rsid w:val="00E05721"/>
    <w:rsid w:val="00E077EA"/>
    <w:rsid w:val="00E10403"/>
    <w:rsid w:val="00E10CFE"/>
    <w:rsid w:val="00E1108B"/>
    <w:rsid w:val="00E13773"/>
    <w:rsid w:val="00E152C0"/>
    <w:rsid w:val="00E24C6F"/>
    <w:rsid w:val="00E265F0"/>
    <w:rsid w:val="00E26901"/>
    <w:rsid w:val="00E3459C"/>
    <w:rsid w:val="00E45F7B"/>
    <w:rsid w:val="00E46685"/>
    <w:rsid w:val="00E55607"/>
    <w:rsid w:val="00E601F5"/>
    <w:rsid w:val="00E60801"/>
    <w:rsid w:val="00E6158A"/>
    <w:rsid w:val="00E62C05"/>
    <w:rsid w:val="00E63062"/>
    <w:rsid w:val="00E6323B"/>
    <w:rsid w:val="00E64929"/>
    <w:rsid w:val="00E65C9D"/>
    <w:rsid w:val="00E72FD3"/>
    <w:rsid w:val="00E756A5"/>
    <w:rsid w:val="00E77B29"/>
    <w:rsid w:val="00E811A4"/>
    <w:rsid w:val="00E82934"/>
    <w:rsid w:val="00E8687A"/>
    <w:rsid w:val="00E91B4A"/>
    <w:rsid w:val="00E93D21"/>
    <w:rsid w:val="00E93EF7"/>
    <w:rsid w:val="00E94FB2"/>
    <w:rsid w:val="00E973A1"/>
    <w:rsid w:val="00E975F0"/>
    <w:rsid w:val="00EA59AC"/>
    <w:rsid w:val="00EA712E"/>
    <w:rsid w:val="00EB1408"/>
    <w:rsid w:val="00EB181C"/>
    <w:rsid w:val="00EB2121"/>
    <w:rsid w:val="00EB3201"/>
    <w:rsid w:val="00EB5132"/>
    <w:rsid w:val="00EC1704"/>
    <w:rsid w:val="00EC79F6"/>
    <w:rsid w:val="00ED0261"/>
    <w:rsid w:val="00ED3DCA"/>
    <w:rsid w:val="00ED478E"/>
    <w:rsid w:val="00EE48C5"/>
    <w:rsid w:val="00EE6023"/>
    <w:rsid w:val="00EE60FA"/>
    <w:rsid w:val="00EE7778"/>
    <w:rsid w:val="00F03449"/>
    <w:rsid w:val="00F04006"/>
    <w:rsid w:val="00F048E4"/>
    <w:rsid w:val="00F077F9"/>
    <w:rsid w:val="00F07827"/>
    <w:rsid w:val="00F10C76"/>
    <w:rsid w:val="00F121A6"/>
    <w:rsid w:val="00F140F6"/>
    <w:rsid w:val="00F144DA"/>
    <w:rsid w:val="00F14BB1"/>
    <w:rsid w:val="00F20430"/>
    <w:rsid w:val="00F20CA2"/>
    <w:rsid w:val="00F30F1D"/>
    <w:rsid w:val="00F3301C"/>
    <w:rsid w:val="00F336FF"/>
    <w:rsid w:val="00F34598"/>
    <w:rsid w:val="00F36889"/>
    <w:rsid w:val="00F41338"/>
    <w:rsid w:val="00F41A10"/>
    <w:rsid w:val="00F43580"/>
    <w:rsid w:val="00F43D13"/>
    <w:rsid w:val="00F44AB4"/>
    <w:rsid w:val="00F45DB5"/>
    <w:rsid w:val="00F467DE"/>
    <w:rsid w:val="00F514A6"/>
    <w:rsid w:val="00F520A0"/>
    <w:rsid w:val="00F5423D"/>
    <w:rsid w:val="00F54746"/>
    <w:rsid w:val="00F572E9"/>
    <w:rsid w:val="00F61BE6"/>
    <w:rsid w:val="00F65157"/>
    <w:rsid w:val="00F70328"/>
    <w:rsid w:val="00F703B2"/>
    <w:rsid w:val="00F805C7"/>
    <w:rsid w:val="00F820DE"/>
    <w:rsid w:val="00F8251D"/>
    <w:rsid w:val="00F82ECA"/>
    <w:rsid w:val="00F90C0B"/>
    <w:rsid w:val="00F93A92"/>
    <w:rsid w:val="00F954AF"/>
    <w:rsid w:val="00F966CB"/>
    <w:rsid w:val="00FA17C2"/>
    <w:rsid w:val="00FA534F"/>
    <w:rsid w:val="00FA69C5"/>
    <w:rsid w:val="00FB0C5B"/>
    <w:rsid w:val="00FB1E62"/>
    <w:rsid w:val="00FB3C2A"/>
    <w:rsid w:val="00FB5A0C"/>
    <w:rsid w:val="00FB6B72"/>
    <w:rsid w:val="00FC0B8E"/>
    <w:rsid w:val="00FC35E4"/>
    <w:rsid w:val="00FC6BE8"/>
    <w:rsid w:val="00FC74A3"/>
    <w:rsid w:val="00FC799C"/>
    <w:rsid w:val="00FD3715"/>
    <w:rsid w:val="00FD5242"/>
    <w:rsid w:val="00FD5D5A"/>
    <w:rsid w:val="00FD7D24"/>
    <w:rsid w:val="00FF4767"/>
    <w:rsid w:val="00FF6001"/>
    <w:rsid w:val="7BD56EC3"/>
    <w:rsid w:val="BB3EA8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5"/>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99"/>
    <w:pPr>
      <w:keepNext/>
      <w:keepLines/>
      <w:spacing w:before="260" w:after="260" w:line="416" w:lineRule="auto"/>
      <w:outlineLvl w:val="1"/>
    </w:pPr>
    <w:rPr>
      <w:rFonts w:ascii="Cambria" w:hAnsi="Cambria" w:cs="Cambria"/>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73"/>
    <w:semiHidden/>
    <w:qFormat/>
    <w:uiPriority w:val="99"/>
    <w:pPr>
      <w:shd w:val="clear" w:color="auto" w:fill="000080"/>
    </w:pPr>
    <w:rPr>
      <w:rFonts w:ascii="Times New Roman" w:hAnsi="Times New Roman" w:cs="Times New Roman"/>
    </w:rPr>
  </w:style>
  <w:style w:type="paragraph" w:styleId="5">
    <w:name w:val="Body Text"/>
    <w:basedOn w:val="1"/>
    <w:link w:val="42"/>
    <w:qFormat/>
    <w:uiPriority w:val="99"/>
    <w:pPr>
      <w:spacing w:after="120"/>
    </w:pPr>
    <w:rPr>
      <w:rFonts w:ascii="Times New Roman" w:hAnsi="Times New Roman" w:cs="Times New Roman"/>
    </w:rPr>
  </w:style>
  <w:style w:type="paragraph" w:styleId="6">
    <w:name w:val="Body Text Indent"/>
    <w:basedOn w:val="1"/>
    <w:link w:val="52"/>
    <w:qFormat/>
    <w:uiPriority w:val="99"/>
    <w:pPr>
      <w:spacing w:after="120"/>
      <w:ind w:left="420" w:leftChars="200"/>
    </w:pPr>
    <w:rPr>
      <w:rFonts w:ascii="Times New Roman" w:hAnsi="Times New Roman" w:cs="Times New Roman"/>
    </w:rPr>
  </w:style>
  <w:style w:type="paragraph" w:styleId="7">
    <w:name w:val="toc 3"/>
    <w:basedOn w:val="1"/>
    <w:next w:val="1"/>
    <w:semiHidden/>
    <w:qFormat/>
    <w:uiPriority w:val="99"/>
    <w:pPr>
      <w:widowControl/>
      <w:spacing w:after="100" w:line="276" w:lineRule="auto"/>
      <w:ind w:left="440"/>
      <w:jc w:val="left"/>
    </w:pPr>
    <w:rPr>
      <w:kern w:val="0"/>
      <w:sz w:val="22"/>
      <w:szCs w:val="22"/>
    </w:rPr>
  </w:style>
  <w:style w:type="paragraph" w:styleId="8">
    <w:name w:val="Plain Text"/>
    <w:basedOn w:val="1"/>
    <w:link w:val="43"/>
    <w:qFormat/>
    <w:uiPriority w:val="99"/>
    <w:rPr>
      <w:rFonts w:ascii="宋体" w:hAnsi="Courier New" w:cs="宋体"/>
    </w:rPr>
  </w:style>
  <w:style w:type="paragraph" w:styleId="9">
    <w:name w:val="Date"/>
    <w:basedOn w:val="1"/>
    <w:next w:val="1"/>
    <w:link w:val="46"/>
    <w:qFormat/>
    <w:uiPriority w:val="99"/>
    <w:pPr>
      <w:ind w:left="100" w:leftChars="2500"/>
    </w:pPr>
    <w:rPr>
      <w:rFonts w:ascii="仿宋_GB2312" w:hAnsi="宋体" w:eastAsia="仿宋_GB2312" w:cs="仿宋_GB2312"/>
      <w:spacing w:val="10"/>
      <w:sz w:val="30"/>
      <w:szCs w:val="30"/>
    </w:rPr>
  </w:style>
  <w:style w:type="paragraph" w:styleId="10">
    <w:name w:val="Body Text Indent 2"/>
    <w:basedOn w:val="1"/>
    <w:link w:val="41"/>
    <w:qFormat/>
    <w:uiPriority w:val="99"/>
    <w:pPr>
      <w:ind w:firstLine="621" w:firstLineChars="200"/>
    </w:pPr>
    <w:rPr>
      <w:rFonts w:ascii="仿宋_GB2312" w:hAnsi="Times New Roman" w:eastAsia="仿宋_GB2312" w:cs="仿宋_GB2312"/>
      <w:sz w:val="32"/>
      <w:szCs w:val="32"/>
    </w:rPr>
  </w:style>
  <w:style w:type="paragraph" w:styleId="11">
    <w:name w:val="Balloon Text"/>
    <w:basedOn w:val="1"/>
    <w:link w:val="31"/>
    <w:semiHidden/>
    <w:qFormat/>
    <w:uiPriority w:val="99"/>
    <w:rPr>
      <w:sz w:val="18"/>
      <w:szCs w:val="18"/>
    </w:rPr>
  </w:style>
  <w:style w:type="paragraph" w:styleId="12">
    <w:name w:val="footer"/>
    <w:basedOn w:val="1"/>
    <w:link w:val="28"/>
    <w:qFormat/>
    <w:uiPriority w:val="99"/>
    <w:pPr>
      <w:tabs>
        <w:tab w:val="center" w:pos="4153"/>
        <w:tab w:val="right" w:pos="8306"/>
      </w:tabs>
      <w:snapToGrid w:val="0"/>
      <w:spacing w:line="240" w:lineRule="atLeast"/>
      <w:jc w:val="left"/>
    </w:pPr>
    <w:rPr>
      <w:sz w:val="18"/>
      <w:szCs w:val="18"/>
    </w:rPr>
  </w:style>
  <w:style w:type="paragraph" w:styleId="13">
    <w:name w:val="header"/>
    <w:basedOn w:val="1"/>
    <w:link w:val="27"/>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4">
    <w:name w:val="toc 1"/>
    <w:basedOn w:val="1"/>
    <w:next w:val="1"/>
    <w:semiHidden/>
    <w:qFormat/>
    <w:uiPriority w:val="99"/>
    <w:pPr>
      <w:spacing w:before="120" w:after="120"/>
      <w:jc w:val="left"/>
    </w:pPr>
    <w:rPr>
      <w:rFonts w:ascii="Times New Roman" w:hAnsi="Times New Roman" w:cs="Times New Roman"/>
      <w:b/>
      <w:bCs/>
      <w:caps/>
      <w:sz w:val="20"/>
      <w:szCs w:val="20"/>
    </w:rPr>
  </w:style>
  <w:style w:type="paragraph" w:styleId="15">
    <w:name w:val="toc 2"/>
    <w:basedOn w:val="1"/>
    <w:next w:val="1"/>
    <w:semiHidden/>
    <w:qFormat/>
    <w:uiPriority w:val="99"/>
    <w:pPr>
      <w:widowControl/>
      <w:spacing w:after="100" w:line="276" w:lineRule="auto"/>
      <w:ind w:left="220"/>
      <w:jc w:val="left"/>
    </w:pPr>
    <w:rPr>
      <w:kern w:val="0"/>
      <w:sz w:val="22"/>
      <w:szCs w:val="22"/>
    </w:rPr>
  </w:style>
  <w:style w:type="paragraph" w:styleId="16">
    <w:name w:val="HTML Preformatted"/>
    <w:basedOn w:val="1"/>
    <w:link w:val="4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kern w:val="0"/>
      <w:sz w:val="24"/>
      <w:szCs w:val="24"/>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9">
    <w:name w:val="Table Grid"/>
    <w:basedOn w:val="18"/>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99"/>
    <w:rPr>
      <w:b/>
      <w:bCs/>
    </w:rPr>
  </w:style>
  <w:style w:type="character" w:styleId="22">
    <w:name w:val="page number"/>
    <w:basedOn w:val="20"/>
    <w:qFormat/>
    <w:uiPriority w:val="99"/>
  </w:style>
  <w:style w:type="character" w:styleId="23">
    <w:name w:val="Emphasis"/>
    <w:qFormat/>
    <w:uiPriority w:val="99"/>
    <w:rPr>
      <w:rFonts w:ascii="Verdana" w:hAnsi="Verdana" w:cs="Verdana"/>
      <w:color w:val="auto"/>
      <w:kern w:val="0"/>
      <w:sz w:val="20"/>
      <w:szCs w:val="20"/>
      <w:lang w:eastAsia="en-US"/>
    </w:rPr>
  </w:style>
  <w:style w:type="character" w:styleId="24">
    <w:name w:val="Hyperlink"/>
    <w:qFormat/>
    <w:uiPriority w:val="99"/>
    <w:rPr>
      <w:color w:val="0000FF"/>
      <w:u w:val="single"/>
    </w:rPr>
  </w:style>
  <w:style w:type="character" w:customStyle="1" w:styleId="25">
    <w:name w:val="标题 1 Char"/>
    <w:link w:val="2"/>
    <w:qFormat/>
    <w:locked/>
    <w:uiPriority w:val="99"/>
    <w:rPr>
      <w:rFonts w:ascii="Calibri" w:hAnsi="Calibri" w:eastAsia="宋体" w:cs="Calibri"/>
      <w:b/>
      <w:bCs/>
      <w:kern w:val="44"/>
      <w:sz w:val="44"/>
      <w:szCs w:val="44"/>
    </w:rPr>
  </w:style>
  <w:style w:type="character" w:customStyle="1" w:styleId="26">
    <w:name w:val="标题 2 Char"/>
    <w:link w:val="3"/>
    <w:qFormat/>
    <w:locked/>
    <w:uiPriority w:val="99"/>
    <w:rPr>
      <w:rFonts w:ascii="Cambria" w:hAnsi="Cambria" w:eastAsia="宋体" w:cs="Cambria"/>
      <w:b/>
      <w:bCs/>
      <w:sz w:val="32"/>
      <w:szCs w:val="32"/>
    </w:rPr>
  </w:style>
  <w:style w:type="character" w:customStyle="1" w:styleId="27">
    <w:name w:val="页眉 Char"/>
    <w:link w:val="13"/>
    <w:qFormat/>
    <w:locked/>
    <w:uiPriority w:val="99"/>
    <w:rPr>
      <w:sz w:val="18"/>
      <w:szCs w:val="18"/>
    </w:rPr>
  </w:style>
  <w:style w:type="character" w:customStyle="1" w:styleId="28">
    <w:name w:val="页脚 Char"/>
    <w:link w:val="12"/>
    <w:qFormat/>
    <w:locked/>
    <w:uiPriority w:val="99"/>
    <w:rPr>
      <w:sz w:val="18"/>
      <w:szCs w:val="18"/>
    </w:rPr>
  </w:style>
  <w:style w:type="paragraph" w:customStyle="1" w:styleId="29">
    <w:name w:val="Char"/>
    <w:basedOn w:val="1"/>
    <w:qFormat/>
    <w:uiPriority w:val="99"/>
    <w:rPr>
      <w:rFonts w:ascii="Arial" w:hAnsi="Arial" w:cs="Arial"/>
      <w:sz w:val="20"/>
      <w:szCs w:val="20"/>
    </w:rPr>
  </w:style>
  <w:style w:type="paragraph" w:customStyle="1" w:styleId="30">
    <w:name w:val="p0"/>
    <w:basedOn w:val="1"/>
    <w:qFormat/>
    <w:uiPriority w:val="99"/>
    <w:pPr>
      <w:widowControl/>
    </w:pPr>
    <w:rPr>
      <w:kern w:val="0"/>
    </w:rPr>
  </w:style>
  <w:style w:type="character" w:customStyle="1" w:styleId="31">
    <w:name w:val="批注框文本 Char"/>
    <w:link w:val="11"/>
    <w:qFormat/>
    <w:locked/>
    <w:uiPriority w:val="99"/>
    <w:rPr>
      <w:rFonts w:ascii="Calibri" w:hAnsi="Calibri" w:eastAsia="宋体" w:cs="Calibri"/>
      <w:sz w:val="18"/>
      <w:szCs w:val="18"/>
    </w:rPr>
  </w:style>
  <w:style w:type="paragraph" w:styleId="32">
    <w:name w:val="No Spacing"/>
    <w:link w:val="33"/>
    <w:qFormat/>
    <w:uiPriority w:val="99"/>
    <w:pPr>
      <w:spacing w:line="300" w:lineRule="exact"/>
    </w:pPr>
    <w:rPr>
      <w:rFonts w:ascii="Calibri" w:hAnsi="Calibri" w:eastAsia="宋体" w:cs="Calibri"/>
      <w:sz w:val="22"/>
      <w:szCs w:val="22"/>
      <w:lang w:val="en-US" w:eastAsia="zh-CN" w:bidi="ar-SA"/>
    </w:rPr>
  </w:style>
  <w:style w:type="character" w:customStyle="1" w:styleId="33">
    <w:name w:val="无间隔 Char"/>
    <w:link w:val="32"/>
    <w:qFormat/>
    <w:locked/>
    <w:uiPriority w:val="99"/>
    <w:rPr>
      <w:rFonts w:ascii="Calibri" w:hAnsi="Calibri" w:eastAsia="宋体" w:cs="Calibri"/>
      <w:sz w:val="22"/>
      <w:szCs w:val="22"/>
    </w:rPr>
  </w:style>
  <w:style w:type="paragraph" w:customStyle="1" w:styleId="34">
    <w:name w:val="Char1"/>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35">
    <w:name w:val="Char Char Char Char"/>
    <w:basedOn w:val="1"/>
    <w:qFormat/>
    <w:uiPriority w:val="99"/>
    <w:rPr>
      <w:rFonts w:ascii="Tahoma" w:hAnsi="Tahoma" w:cs="Tahoma"/>
      <w:sz w:val="24"/>
      <w:szCs w:val="24"/>
    </w:rPr>
  </w:style>
  <w:style w:type="paragraph" w:customStyle="1" w:styleId="36">
    <w:name w:val="Char11"/>
    <w:basedOn w:val="1"/>
    <w:qFormat/>
    <w:uiPriority w:val="99"/>
    <w:pPr>
      <w:tabs>
        <w:tab w:val="left" w:pos="360"/>
      </w:tabs>
    </w:pPr>
    <w:rPr>
      <w:rFonts w:ascii="Times New Roman" w:hAnsi="Times New Roman" w:cs="Times New Roman"/>
      <w:sz w:val="24"/>
      <w:szCs w:val="24"/>
    </w:rPr>
  </w:style>
  <w:style w:type="paragraph" w:customStyle="1" w:styleId="37">
    <w:name w:val="Char Char Char Char Char Char Char Char Char Char Char Char Char Char Char Char Char Char Char Char Char1 Char"/>
    <w:qFormat/>
    <w:uiPriority w:val="99"/>
    <w:pPr>
      <w:widowControl w:val="0"/>
      <w:spacing w:line="360" w:lineRule="exact"/>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38">
    <w:name w:val="默认段落字体 Para Char"/>
    <w:basedOn w:val="1"/>
    <w:qFormat/>
    <w:uiPriority w:val="99"/>
    <w:rPr>
      <w:rFonts w:ascii="Times New Roman" w:hAnsi="Times New Roman" w:cs="Times New Roman"/>
    </w:rPr>
  </w:style>
  <w:style w:type="paragraph" w:customStyle="1" w:styleId="39">
    <w:name w:val="_Style 3"/>
    <w:basedOn w:val="1"/>
    <w:qFormat/>
    <w:uiPriority w:val="99"/>
    <w:pPr>
      <w:widowControl/>
      <w:spacing w:after="160" w:line="240" w:lineRule="exact"/>
      <w:jc w:val="left"/>
    </w:pPr>
    <w:rPr>
      <w:rFonts w:ascii="Times New Roman" w:hAnsi="Times New Roman" w:cs="Times New Roman"/>
    </w:rPr>
  </w:style>
  <w:style w:type="paragraph" w:customStyle="1" w:styleId="40">
    <w:name w:val="TOC Heading"/>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41">
    <w:name w:val="正文文本缩进 2 Char"/>
    <w:link w:val="10"/>
    <w:qFormat/>
    <w:locked/>
    <w:uiPriority w:val="99"/>
    <w:rPr>
      <w:rFonts w:ascii="仿宋_GB2312" w:hAnsi="Times New Roman" w:eastAsia="仿宋_GB2312" w:cs="仿宋_GB2312"/>
      <w:sz w:val="24"/>
      <w:szCs w:val="24"/>
    </w:rPr>
  </w:style>
  <w:style w:type="character" w:customStyle="1" w:styleId="42">
    <w:name w:val="正文文本 Char"/>
    <w:link w:val="5"/>
    <w:qFormat/>
    <w:locked/>
    <w:uiPriority w:val="99"/>
    <w:rPr>
      <w:rFonts w:ascii="Times New Roman" w:hAnsi="Times New Roman" w:eastAsia="宋体" w:cs="Times New Roman"/>
      <w:sz w:val="24"/>
      <w:szCs w:val="24"/>
    </w:rPr>
  </w:style>
  <w:style w:type="character" w:customStyle="1" w:styleId="43">
    <w:name w:val="纯文本 Char"/>
    <w:link w:val="8"/>
    <w:qFormat/>
    <w:locked/>
    <w:uiPriority w:val="99"/>
    <w:rPr>
      <w:rFonts w:ascii="宋体" w:hAnsi="Courier New" w:eastAsia="宋体" w:cs="宋体"/>
      <w:sz w:val="21"/>
      <w:szCs w:val="21"/>
    </w:rPr>
  </w:style>
  <w:style w:type="table" w:customStyle="1" w:styleId="44">
    <w:name w:val="网格型1"/>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5">
    <w:name w:val="HTML 预设格式 Char"/>
    <w:link w:val="16"/>
    <w:qFormat/>
    <w:locked/>
    <w:uiPriority w:val="99"/>
    <w:rPr>
      <w:rFonts w:ascii="宋体" w:hAnsi="宋体" w:eastAsia="宋体" w:cs="宋体"/>
      <w:kern w:val="0"/>
      <w:sz w:val="24"/>
      <w:szCs w:val="24"/>
    </w:rPr>
  </w:style>
  <w:style w:type="character" w:customStyle="1" w:styleId="46">
    <w:name w:val="日期 Char"/>
    <w:link w:val="9"/>
    <w:qFormat/>
    <w:locked/>
    <w:uiPriority w:val="99"/>
    <w:rPr>
      <w:rFonts w:ascii="仿宋_GB2312" w:hAnsi="宋体" w:eastAsia="仿宋_GB2312" w:cs="仿宋_GB2312"/>
      <w:spacing w:val="10"/>
      <w:sz w:val="24"/>
      <w:szCs w:val="24"/>
    </w:rPr>
  </w:style>
  <w:style w:type="paragraph" w:customStyle="1" w:styleId="47">
    <w:name w:val="xl27"/>
    <w:basedOn w:val="1"/>
    <w:qFormat/>
    <w:uiPriority w:val="99"/>
    <w:pPr>
      <w:widowControl/>
      <w:pBdr>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48">
    <w:name w:val="Char2"/>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49">
    <w:name w:val="列出段落1"/>
    <w:basedOn w:val="1"/>
    <w:qFormat/>
    <w:uiPriority w:val="99"/>
    <w:pPr>
      <w:ind w:firstLine="420" w:firstLineChars="200"/>
    </w:pPr>
    <w:rPr>
      <w:rFonts w:ascii="Times New Roman" w:hAnsi="Times New Roman" w:cs="Times New Roman"/>
    </w:rPr>
  </w:style>
  <w:style w:type="character" w:customStyle="1" w:styleId="50">
    <w:name w:val="wrap"/>
    <w:qFormat/>
    <w:uiPriority w:val="99"/>
  </w:style>
  <w:style w:type="paragraph" w:customStyle="1" w:styleId="51">
    <w:name w:val="Char Char Char"/>
    <w:basedOn w:val="1"/>
    <w:qFormat/>
    <w:uiPriority w:val="99"/>
    <w:pPr>
      <w:spacing w:line="360" w:lineRule="auto"/>
      <w:ind w:firstLine="200" w:firstLineChars="200"/>
    </w:pPr>
    <w:rPr>
      <w:rFonts w:ascii="宋体" w:hAnsi="宋体" w:cs="宋体"/>
      <w:sz w:val="24"/>
      <w:szCs w:val="24"/>
    </w:rPr>
  </w:style>
  <w:style w:type="character" w:customStyle="1" w:styleId="52">
    <w:name w:val="正文文本缩进 Char"/>
    <w:link w:val="6"/>
    <w:qFormat/>
    <w:locked/>
    <w:uiPriority w:val="99"/>
    <w:rPr>
      <w:rFonts w:ascii="Times New Roman" w:hAnsi="Times New Roman" w:eastAsia="宋体" w:cs="Times New Roman"/>
      <w:sz w:val="24"/>
      <w:szCs w:val="24"/>
    </w:rPr>
  </w:style>
  <w:style w:type="paragraph" w:customStyle="1" w:styleId="53">
    <w:name w:val="标题2"/>
    <w:basedOn w:val="3"/>
    <w:qFormat/>
    <w:uiPriority w:val="99"/>
    <w:pPr>
      <w:adjustRightInd w:val="0"/>
      <w:snapToGrid w:val="0"/>
      <w:spacing w:before="0" w:after="0" w:line="520" w:lineRule="exact"/>
      <w:ind w:firstLine="200" w:firstLineChars="200"/>
    </w:pPr>
    <w:rPr>
      <w:rFonts w:eastAsia="黑体"/>
      <w:b w:val="0"/>
      <w:bCs w:val="0"/>
    </w:rPr>
  </w:style>
  <w:style w:type="paragraph" w:customStyle="1" w:styleId="54">
    <w:name w:val="标题3"/>
    <w:basedOn w:val="1"/>
    <w:qFormat/>
    <w:uiPriority w:val="99"/>
    <w:pPr>
      <w:adjustRightInd w:val="0"/>
      <w:snapToGrid w:val="0"/>
      <w:spacing w:line="520" w:lineRule="exact"/>
      <w:ind w:firstLine="200" w:firstLineChars="200"/>
    </w:pPr>
    <w:rPr>
      <w:rFonts w:ascii="Times New Roman" w:hAnsi="Times New Roman" w:eastAsia="楷体_GB2312" w:cs="Times New Roman"/>
      <w:sz w:val="32"/>
      <w:szCs w:val="32"/>
    </w:rPr>
  </w:style>
  <w:style w:type="paragraph" w:customStyle="1" w:styleId="55">
    <w:name w:val="Char Char"/>
    <w:basedOn w:val="1"/>
    <w:qFormat/>
    <w:uiPriority w:val="99"/>
    <w:pPr>
      <w:spacing w:line="360" w:lineRule="auto"/>
      <w:ind w:firstLine="200" w:firstLineChars="200"/>
    </w:pPr>
    <w:rPr>
      <w:rFonts w:ascii="宋体" w:hAnsi="宋体" w:cs="宋体"/>
      <w:sz w:val="24"/>
      <w:szCs w:val="24"/>
    </w:rPr>
  </w:style>
  <w:style w:type="character" w:customStyle="1" w:styleId="56">
    <w:name w:val="apple-converted-space"/>
    <w:qFormat/>
    <w:uiPriority w:val="99"/>
  </w:style>
  <w:style w:type="paragraph" w:customStyle="1" w:styleId="57">
    <w:name w:val="Char Char Char Char1"/>
    <w:basedOn w:val="1"/>
    <w:qFormat/>
    <w:uiPriority w:val="99"/>
    <w:rPr>
      <w:rFonts w:ascii="Tahoma" w:hAnsi="Tahoma" w:cs="Tahoma"/>
      <w:sz w:val="24"/>
      <w:szCs w:val="24"/>
    </w:rPr>
  </w:style>
  <w:style w:type="paragraph" w:customStyle="1" w:styleId="58">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59">
    <w:name w:val="Char Char Char2"/>
    <w:basedOn w:val="1"/>
    <w:qFormat/>
    <w:uiPriority w:val="99"/>
    <w:pPr>
      <w:spacing w:line="360" w:lineRule="auto"/>
      <w:ind w:firstLine="200" w:firstLineChars="200"/>
    </w:pPr>
    <w:rPr>
      <w:rFonts w:ascii="宋体" w:hAnsi="宋体" w:cs="宋体"/>
      <w:sz w:val="24"/>
      <w:szCs w:val="24"/>
    </w:rPr>
  </w:style>
  <w:style w:type="table" w:customStyle="1" w:styleId="60">
    <w:name w:val="网格型2"/>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1">
    <w:name w:val="列出段落11"/>
    <w:basedOn w:val="1"/>
    <w:qFormat/>
    <w:uiPriority w:val="99"/>
    <w:pPr>
      <w:ind w:firstLine="420" w:firstLineChars="200"/>
    </w:pPr>
    <w:rPr>
      <w:rFonts w:ascii="Times New Roman" w:hAnsi="Times New Roman" w:cs="Times New Roman"/>
    </w:rPr>
  </w:style>
  <w:style w:type="paragraph" w:customStyle="1" w:styleId="62">
    <w:name w:val="Char Char Char1"/>
    <w:basedOn w:val="1"/>
    <w:qFormat/>
    <w:uiPriority w:val="99"/>
    <w:pPr>
      <w:spacing w:line="360" w:lineRule="auto"/>
      <w:ind w:firstLine="200" w:firstLineChars="200"/>
    </w:pPr>
    <w:rPr>
      <w:rFonts w:ascii="宋体" w:hAnsi="宋体" w:cs="宋体"/>
      <w:sz w:val="24"/>
      <w:szCs w:val="24"/>
    </w:rPr>
  </w:style>
  <w:style w:type="table" w:customStyle="1" w:styleId="63">
    <w:name w:val="网格型3"/>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4">
    <w:name w:val="Char Char1 Char Char Char Char Char Char Char Char"/>
    <w:basedOn w:val="1"/>
    <w:qFormat/>
    <w:uiPriority w:val="99"/>
    <w:pPr>
      <w:widowControl/>
      <w:spacing w:after="160" w:line="240" w:lineRule="exact"/>
      <w:jc w:val="left"/>
    </w:pPr>
    <w:rPr>
      <w:rFonts w:ascii="Times New Roman" w:hAnsi="Times New Roman" w:cs="Times New Roman"/>
    </w:rPr>
  </w:style>
  <w:style w:type="paragraph" w:styleId="65">
    <w:name w:val="List Paragraph"/>
    <w:basedOn w:val="1"/>
    <w:qFormat/>
    <w:uiPriority w:val="99"/>
    <w:pPr>
      <w:ind w:firstLine="420" w:firstLineChars="200"/>
    </w:pPr>
    <w:rPr>
      <w:rFonts w:ascii="Times New Roman" w:hAnsi="Times New Roman" w:cs="Times New Roman"/>
    </w:rPr>
  </w:style>
  <w:style w:type="paragraph" w:customStyle="1" w:styleId="66">
    <w:name w:val="Char Char1 Char Char Char Char Char Char Char Char1"/>
    <w:basedOn w:val="1"/>
    <w:qFormat/>
    <w:uiPriority w:val="99"/>
    <w:pPr>
      <w:widowControl/>
      <w:spacing w:after="160" w:line="240" w:lineRule="exact"/>
      <w:jc w:val="left"/>
    </w:pPr>
    <w:rPr>
      <w:rFonts w:ascii="Times New Roman" w:hAnsi="Times New Roman" w:cs="Times New Roman"/>
    </w:rPr>
  </w:style>
  <w:style w:type="paragraph" w:customStyle="1" w:styleId="67">
    <w:name w:val="Char Char Char Char Char Char Char Char Char Char Char Char Char Char Char Char Char Char Char Char Char1 Char1"/>
    <w:qFormat/>
    <w:uiPriority w:val="99"/>
    <w:pPr>
      <w:widowControl w:val="0"/>
      <w:spacing w:line="360" w:lineRule="exact"/>
      <w:ind w:firstLine="480" w:firstLineChars="200"/>
      <w:jc w:val="both"/>
    </w:pPr>
    <w:rPr>
      <w:rFonts w:ascii="Times New Roman" w:hAnsi="Times New Roman" w:eastAsia="仿宋_GB2312" w:cs="Times New Roman"/>
      <w:kern w:val="2"/>
      <w:sz w:val="24"/>
      <w:szCs w:val="24"/>
      <w:lang w:val="en-US" w:eastAsia="zh-CN" w:bidi="ar-SA"/>
    </w:rPr>
  </w:style>
  <w:style w:type="table" w:customStyle="1" w:styleId="68">
    <w:name w:val="网格型11"/>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网格型21"/>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0">
    <w:name w:val="正文文本缩进 Char1"/>
    <w:semiHidden/>
    <w:qFormat/>
    <w:uiPriority w:val="99"/>
    <w:rPr>
      <w:kern w:val="2"/>
      <w:sz w:val="22"/>
      <w:szCs w:val="22"/>
    </w:rPr>
  </w:style>
  <w:style w:type="paragraph" w:customStyle="1" w:styleId="71">
    <w:name w:val="1"/>
    <w:basedOn w:val="1"/>
    <w:qFormat/>
    <w:uiPriority w:val="99"/>
    <w:pPr>
      <w:tabs>
        <w:tab w:val="left" w:pos="425"/>
      </w:tabs>
      <w:ind w:left="425" w:hanging="425"/>
    </w:pPr>
    <w:rPr>
      <w:rFonts w:ascii="Times New Roman" w:hAnsi="Times New Roman" w:cs="Times New Roman"/>
    </w:rPr>
  </w:style>
  <w:style w:type="paragraph" w:customStyle="1" w:styleId="72">
    <w:name w:val="Char1 Char Char Char Char Char Char Char Char Char"/>
    <w:basedOn w:val="1"/>
    <w:qFormat/>
    <w:uiPriority w:val="99"/>
    <w:pPr>
      <w:spacing w:line="360" w:lineRule="auto"/>
    </w:pPr>
    <w:rPr>
      <w:rFonts w:ascii="Times New Roman" w:hAnsi="Times New Roman" w:cs="Times New Roman"/>
    </w:rPr>
  </w:style>
  <w:style w:type="character" w:customStyle="1" w:styleId="73">
    <w:name w:val="文档结构图 Char"/>
    <w:link w:val="4"/>
    <w:semiHidden/>
    <w:qFormat/>
    <w:locked/>
    <w:uiPriority w:val="99"/>
    <w:rPr>
      <w:rFonts w:ascii="Times New Roman" w:hAnsi="Times New Roman" w:eastAsia="宋体" w:cs="Times New Roman"/>
      <w:sz w:val="24"/>
      <w:szCs w:val="24"/>
      <w:shd w:val="clear" w:color="auto" w:fill="000080"/>
    </w:rPr>
  </w:style>
  <w:style w:type="table" w:customStyle="1" w:styleId="74">
    <w:name w:val="网格型4"/>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网格型12"/>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网格型22"/>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7">
    <w:name w:val="Quote"/>
    <w:basedOn w:val="1"/>
    <w:next w:val="1"/>
    <w:link w:val="78"/>
    <w:qFormat/>
    <w:uiPriority w:val="29"/>
    <w:rPr>
      <w:i/>
      <w:iCs/>
      <w:color w:val="000000"/>
    </w:rPr>
  </w:style>
  <w:style w:type="character" w:customStyle="1" w:styleId="78">
    <w:name w:val="引用 Char"/>
    <w:link w:val="77"/>
    <w:qFormat/>
    <w:uiPriority w:val="29"/>
    <w:rPr>
      <w:rFonts w:cs="Calibri"/>
      <w:i/>
      <w:iCs/>
      <w:color w:val="000000"/>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73</Pages>
  <Words>1294</Words>
  <Characters>1424</Characters>
  <Lines>314</Lines>
  <Paragraphs>88</Paragraphs>
  <TotalTime>4</TotalTime>
  <ScaleCrop>false</ScaleCrop>
  <LinksUpToDate>false</LinksUpToDate>
  <CharactersWithSpaces>1435</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2019-12-13T11:13:00Z</dcterms:created>
  <dc:creator>杨联锋</dc:creator>
  <cp:lastModifiedBy>admin123</cp:lastModifiedBy>
  <cp:lastPrinted>2019-05-05T16:01:00Z</cp:lastPrinted>
  <dcterms:modified xsi:type="dcterms:W3CDTF">2026-07-20T11:17:50Z</dcterms:modified>
  <dc:title>鹤办发〔2018〕 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C2AD9BE945804099B47A96B765CC5EE6_12</vt:lpwstr>
  </property>
</Properties>
</file>