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AEAFE">
      <w:pPr>
        <w:keepNext w:val="0"/>
        <w:keepLines w:val="0"/>
        <w:pageBreakBefore w:val="0"/>
        <w:widowControl w:val="0"/>
        <w:kinsoku/>
        <w:overflowPunct/>
        <w:topLinePunct w:val="0"/>
        <w:autoSpaceDE/>
        <w:autoSpaceDN/>
        <w:bidi w:val="0"/>
        <w:adjustRightInd w:val="0"/>
        <w:snapToGrid w:val="0"/>
        <w:spacing w:line="576" w:lineRule="exact"/>
        <w:ind w:left="0" w:leftChars="0"/>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40047297">
      <w:pPr>
        <w:keepNext w:val="0"/>
        <w:keepLines w:val="0"/>
        <w:pageBreakBefore w:val="0"/>
        <w:overflowPunct/>
        <w:topLinePunct w:val="0"/>
        <w:bidi w:val="0"/>
        <w:adjustRightInd w:val="0"/>
        <w:snapToGrid w:val="0"/>
        <w:spacing w:line="576" w:lineRule="exact"/>
        <w:ind w:left="0" w:leftChars="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3299987D">
      <w:pPr>
        <w:keepNext w:val="0"/>
        <w:keepLines w:val="0"/>
        <w:pageBreakBefore w:val="0"/>
        <w:overflowPunct/>
        <w:topLinePunct w:val="0"/>
        <w:bidi w:val="0"/>
        <w:adjustRightInd w:val="0"/>
        <w:snapToGrid w:val="0"/>
        <w:spacing w:line="576" w:lineRule="exact"/>
        <w:ind w:left="0" w:leftChars="0"/>
      </w:pPr>
    </w:p>
    <w:p w14:paraId="2AF27F18">
      <w:pPr>
        <w:keepNext w:val="0"/>
        <w:keepLines w:val="0"/>
        <w:pageBreakBefore w:val="0"/>
        <w:wordWrap w:val="0"/>
        <w:overflowPunct/>
        <w:topLinePunct w:val="0"/>
        <w:bidi w:val="0"/>
        <w:adjustRightInd w:val="0"/>
        <w:snapToGrid w:val="0"/>
        <w:spacing w:line="576" w:lineRule="exact"/>
        <w:ind w:left="0" w:leftChars="0"/>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22</w:t>
      </w:r>
      <w:r>
        <w:rPr>
          <w:rFonts w:hint="eastAsia" w:ascii="仿宋_GB2312" w:hAnsi="仿宋_GB2312" w:eastAsia="仿宋_GB2312" w:cs="仿宋_GB2312"/>
          <w:spacing w:val="-1"/>
          <w:sz w:val="32"/>
          <w:szCs w:val="32"/>
        </w:rPr>
        <w:t>号</w:t>
      </w:r>
    </w:p>
    <w:p w14:paraId="207E4249">
      <w:pPr>
        <w:keepNext w:val="0"/>
        <w:keepLines w:val="0"/>
        <w:pageBreakBefore w:val="0"/>
        <w:widowControl w:val="0"/>
        <w:kinsoku/>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 w:eastAsia="仿宋_GB2312" w:cs="Times New Roman"/>
          <w:snapToGrid/>
          <w:kern w:val="2"/>
          <w:sz w:val="32"/>
          <w:szCs w:val="32"/>
        </w:rPr>
      </w:pPr>
    </w:p>
    <w:p w14:paraId="7780D6DC">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default" w:ascii="仿宋_GB2312" w:hAnsi="仿宋" w:eastAsia="仿宋_GB2312" w:cs="Times New Roman"/>
          <w:snapToGrid/>
          <w:kern w:val="2"/>
          <w:sz w:val="32"/>
          <w:szCs w:val="32"/>
          <w:lang w:val="en-US" w:eastAsia="zh-CN"/>
        </w:rPr>
      </w:pPr>
      <w:r>
        <w:rPr>
          <w:rFonts w:hint="default" w:ascii="仿宋_GB2312" w:hAnsi="仿宋" w:eastAsia="仿宋_GB2312" w:cs="Times New Roman"/>
          <w:snapToGrid/>
          <w:kern w:val="2"/>
          <w:sz w:val="32"/>
          <w:szCs w:val="32"/>
          <w:lang w:val="en-US" w:eastAsia="zh-CN"/>
        </w:rPr>
        <w:t>当事人：江门市汇兴科技有限公司</w:t>
      </w:r>
    </w:p>
    <w:p w14:paraId="6CF4EC07">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default" w:ascii="仿宋_GB2312" w:hAnsi="仿宋" w:eastAsia="仿宋_GB2312" w:cs="Times New Roman"/>
          <w:snapToGrid/>
          <w:kern w:val="2"/>
          <w:sz w:val="32"/>
          <w:szCs w:val="32"/>
          <w:lang w:val="en-US" w:eastAsia="zh-CN"/>
        </w:rPr>
      </w:pPr>
      <w:r>
        <w:rPr>
          <w:rFonts w:hint="default" w:ascii="仿宋_GB2312" w:hAnsi="仿宋" w:eastAsia="仿宋_GB2312" w:cs="Times New Roman"/>
          <w:snapToGrid/>
          <w:kern w:val="2"/>
          <w:sz w:val="32"/>
          <w:szCs w:val="32"/>
          <w:lang w:val="en-US" w:eastAsia="zh-CN"/>
        </w:rPr>
        <w:t>统一社会信用代码：91440703MA54R44L54</w:t>
      </w:r>
    </w:p>
    <w:p w14:paraId="122AFCCF">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default" w:ascii="仿宋_GB2312" w:hAnsi="仿宋" w:eastAsia="仿宋_GB2312" w:cs="Times New Roman"/>
          <w:snapToGrid/>
          <w:kern w:val="2"/>
          <w:sz w:val="32"/>
          <w:szCs w:val="32"/>
          <w:lang w:val="en-US" w:eastAsia="zh-CN"/>
        </w:rPr>
      </w:pPr>
      <w:r>
        <w:rPr>
          <w:rFonts w:hint="default" w:ascii="仿宋_GB2312" w:hAnsi="仿宋" w:eastAsia="仿宋_GB2312" w:cs="Times New Roman"/>
          <w:snapToGrid/>
          <w:kern w:val="2"/>
          <w:sz w:val="32"/>
          <w:szCs w:val="32"/>
          <w:lang w:val="en-US" w:eastAsia="zh-CN"/>
        </w:rPr>
        <w:t>法定代表人：钟慧茵</w:t>
      </w:r>
    </w:p>
    <w:p w14:paraId="33C660C4">
      <w:pPr>
        <w:keepNext w:val="0"/>
        <w:keepLines w:val="0"/>
        <w:pageBreakBefore w:val="0"/>
        <w:widowControl w:val="0"/>
        <w:kinsoku/>
        <w:wordWrap/>
        <w:overflowPunct/>
        <w:topLinePunct w:val="0"/>
        <w:autoSpaceDE/>
        <w:autoSpaceDN/>
        <w:bidi w:val="0"/>
        <w:adjustRightInd w:val="0"/>
        <w:snapToGrid w:val="0"/>
        <w:spacing w:line="576" w:lineRule="exact"/>
        <w:textAlignment w:val="auto"/>
        <w:rPr>
          <w:rFonts w:hint="default" w:ascii="仿宋_GB2312" w:hAnsi="仿宋" w:eastAsia="仿宋_GB2312" w:cs="Times New Roman"/>
          <w:snapToGrid/>
          <w:kern w:val="2"/>
          <w:sz w:val="32"/>
          <w:szCs w:val="32"/>
          <w:lang w:val="en-US" w:eastAsia="zh-CN"/>
        </w:rPr>
      </w:pPr>
      <w:r>
        <w:rPr>
          <w:rFonts w:hint="default" w:ascii="仿宋_GB2312" w:hAnsi="仿宋" w:eastAsia="仿宋_GB2312" w:cs="Times New Roman"/>
          <w:snapToGrid/>
          <w:kern w:val="2"/>
          <w:sz w:val="32"/>
          <w:szCs w:val="32"/>
          <w:lang w:val="en-US" w:eastAsia="zh-CN"/>
        </w:rPr>
        <w:t>地址：江门市蓬江区棠下镇桐乐六路5号3幢自编之一厂房</w:t>
      </w:r>
    </w:p>
    <w:p w14:paraId="1B250472">
      <w:pPr>
        <w:keepNext w:val="0"/>
        <w:keepLines w:val="0"/>
        <w:pageBreakBefore w:val="0"/>
        <w:overflowPunct/>
        <w:topLinePunct w:val="0"/>
        <w:autoSpaceDE/>
        <w:autoSpaceDN/>
        <w:bidi w:val="0"/>
        <w:adjustRightInd w:val="0"/>
        <w:snapToGrid w:val="0"/>
        <w:spacing w:line="576" w:lineRule="exact"/>
        <w:ind w:left="0" w:leftChars="0" w:firstLine="672" w:firstLineChars="200"/>
        <w:rPr>
          <w:rFonts w:ascii="黑体" w:hAnsi="黑体" w:eastAsia="黑体" w:cs="黑体"/>
          <w:spacing w:val="8"/>
          <w:position w:val="4"/>
          <w:sz w:val="32"/>
          <w:szCs w:val="32"/>
        </w:rPr>
      </w:pPr>
    </w:p>
    <w:p w14:paraId="30E66416">
      <w:pPr>
        <w:keepNext w:val="0"/>
        <w:keepLines w:val="0"/>
        <w:pageBreakBefore w:val="0"/>
        <w:overflowPunct/>
        <w:topLinePunct w:val="0"/>
        <w:autoSpaceDE/>
        <w:autoSpaceDN/>
        <w:bidi w:val="0"/>
        <w:adjustRightInd w:val="0"/>
        <w:snapToGrid w:val="0"/>
        <w:spacing w:line="576" w:lineRule="exact"/>
        <w:ind w:left="0" w:leftChars="0"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3C54E15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Calibri" w:eastAsia="仿宋_GB2312" w:cs="Times New Roman"/>
          <w:sz w:val="32"/>
          <w:szCs w:val="32"/>
          <w:lang w:val="en-US" w:eastAsia="zh-CN"/>
        </w:rPr>
      </w:pPr>
      <w:r>
        <w:rPr>
          <w:rFonts w:hint="eastAsia" w:ascii="仿宋_GB2312" w:eastAsia="仿宋_GB2312"/>
          <w:sz w:val="32"/>
          <w:szCs w:val="32"/>
          <w:lang w:val="en-US" w:eastAsia="zh-CN"/>
        </w:rPr>
        <w:t>2026年7月6日，我局执法人员对你单位进行检查，发现你单位存在以下环境违法行为：你单位</w:t>
      </w:r>
      <w:r>
        <w:rPr>
          <w:rFonts w:hint="eastAsia" w:ascii="仿宋_GB2312" w:hAnsi="Calibri" w:eastAsia="仿宋_GB2312" w:cs="Times New Roman"/>
          <w:sz w:val="32"/>
          <w:szCs w:val="32"/>
          <w:lang w:val="en-US" w:eastAsia="zh-CN"/>
        </w:rPr>
        <w:t>主要从事摩托车配件制造项目，检查时发现原料仓内存放装有二氯甲烷的原料桶。经了解，</w:t>
      </w:r>
      <w:r>
        <w:rPr>
          <w:rFonts w:hint="eastAsia" w:ascii="仿宋_GB2312" w:eastAsia="仿宋_GB2312"/>
          <w:sz w:val="32"/>
          <w:szCs w:val="32"/>
          <w:lang w:val="en-US" w:eastAsia="zh-CN"/>
        </w:rPr>
        <w:t>你单位</w:t>
      </w:r>
      <w:r>
        <w:rPr>
          <w:rFonts w:hint="eastAsia" w:ascii="仿宋_GB2312" w:hAnsi="Calibri" w:eastAsia="仿宋_GB2312" w:cs="Times New Roman"/>
          <w:sz w:val="32"/>
          <w:szCs w:val="32"/>
          <w:lang w:val="en-US" w:eastAsia="zh-CN"/>
        </w:rPr>
        <w:t>使用二氯甲烷用于清洗发泡机注料枪头，二氯甲烷清洗枪头所在工位已配套废气收集管道，产生的挥发废气经过废气治理设施（干式过滤+二级活性碳吸附）处理后排放，且二氯甲烷属于《有毒有害大气污染物名录（2018）》中有毒有害大气污染物；经查，</w:t>
      </w:r>
      <w:r>
        <w:rPr>
          <w:rFonts w:hint="eastAsia" w:ascii="仿宋_GB2312" w:eastAsia="仿宋_GB2312"/>
          <w:sz w:val="32"/>
          <w:szCs w:val="32"/>
          <w:lang w:val="en-US" w:eastAsia="zh-CN"/>
        </w:rPr>
        <w:t>你单位</w:t>
      </w:r>
      <w:r>
        <w:rPr>
          <w:rFonts w:hint="eastAsia" w:ascii="仿宋_GB2312" w:hAnsi="Calibri" w:eastAsia="仿宋_GB2312" w:cs="Times New Roman"/>
          <w:sz w:val="32"/>
          <w:szCs w:val="32"/>
          <w:lang w:val="en-US" w:eastAsia="zh-CN"/>
        </w:rPr>
        <w:t>在排放二氯甲烷有毒有害气体时未按照《</w:t>
      </w:r>
      <w:r>
        <w:rPr>
          <w:rFonts w:hint="eastAsia" w:ascii="仿宋_GB2312" w:hAnsi="Calibri" w:eastAsia="仿宋_GB2312" w:cs="Times New Roman"/>
          <w:sz w:val="32"/>
          <w:szCs w:val="32"/>
          <w:lang w:val="en-US" w:eastAsia="zh-CN"/>
        </w:rPr>
        <w:fldChar w:fldCharType="begin"/>
      </w:r>
      <w:r>
        <w:rPr>
          <w:rFonts w:hint="eastAsia" w:ascii="仿宋_GB2312" w:hAnsi="Calibri" w:eastAsia="仿宋_GB2312" w:cs="Times New Roman"/>
          <w:sz w:val="32"/>
          <w:szCs w:val="32"/>
          <w:lang w:val="en-US" w:eastAsia="zh-CN"/>
        </w:rPr>
        <w:instrText xml:space="preserve"> HYPERLINK "https://www.mee.gov.cn/ywgz/fgbz/bz/bzwb/jcffbz/202112/W020211206547863741730.pdf" </w:instrText>
      </w:r>
      <w:r>
        <w:rPr>
          <w:rFonts w:hint="eastAsia" w:ascii="仿宋_GB2312" w:hAnsi="Calibri" w:eastAsia="仿宋_GB2312" w:cs="Times New Roman"/>
          <w:sz w:val="32"/>
          <w:szCs w:val="32"/>
          <w:lang w:val="en-US" w:eastAsia="zh-CN"/>
        </w:rPr>
        <w:fldChar w:fldCharType="separate"/>
      </w:r>
      <w:r>
        <w:rPr>
          <w:rFonts w:hint="eastAsia" w:ascii="仿宋_GB2312" w:hAnsi="Calibri" w:eastAsia="仿宋_GB2312" w:cs="Times New Roman"/>
          <w:sz w:val="32"/>
          <w:szCs w:val="32"/>
          <w:lang w:val="en-US" w:eastAsia="zh-CN"/>
        </w:rPr>
        <w:t>排污单位自行监测技术指南 橡胶和塑料制品》（HJ 1207—2021）</w:t>
      </w:r>
      <w:r>
        <w:rPr>
          <w:rFonts w:hint="eastAsia" w:ascii="仿宋_GB2312" w:hAnsi="Calibri" w:eastAsia="仿宋_GB2312" w:cs="Times New Roman"/>
          <w:sz w:val="32"/>
          <w:szCs w:val="32"/>
          <w:lang w:val="en-US" w:eastAsia="zh-CN"/>
        </w:rPr>
        <w:fldChar w:fldCharType="end"/>
      </w:r>
      <w:r>
        <w:rPr>
          <w:rFonts w:hint="eastAsia" w:ascii="仿宋_GB2312" w:hAnsi="Calibri" w:eastAsia="仿宋_GB2312" w:cs="Times New Roman"/>
          <w:sz w:val="32"/>
          <w:szCs w:val="32"/>
          <w:lang w:val="en-US" w:eastAsia="zh-CN"/>
        </w:rPr>
        <w:t>及《</w:t>
      </w:r>
      <w:r>
        <w:rPr>
          <w:rFonts w:hint="eastAsia" w:ascii="仿宋_GB2312" w:hAnsi="Calibri" w:eastAsia="仿宋_GB2312" w:cs="Times New Roman"/>
          <w:sz w:val="32"/>
          <w:szCs w:val="32"/>
          <w:lang w:val="en-US" w:eastAsia="zh-CN"/>
        </w:rPr>
        <w:fldChar w:fldCharType="begin"/>
      </w:r>
      <w:r>
        <w:rPr>
          <w:rFonts w:hint="eastAsia" w:ascii="仿宋_GB2312" w:hAnsi="Calibri" w:eastAsia="仿宋_GB2312" w:cs="Times New Roman"/>
          <w:sz w:val="32"/>
          <w:szCs w:val="32"/>
          <w:lang w:val="en-US" w:eastAsia="zh-CN"/>
        </w:rPr>
        <w:instrText xml:space="preserve"> HYPERLINK "https://www.mee.gov.cn/ywgz/fgbz/bz/bzwb/shjbh/xgbzh/201705/W020170511332490849000.pdf" </w:instrText>
      </w:r>
      <w:r>
        <w:rPr>
          <w:rFonts w:hint="eastAsia" w:ascii="仿宋_GB2312" w:hAnsi="Calibri" w:eastAsia="仿宋_GB2312" w:cs="Times New Roman"/>
          <w:sz w:val="32"/>
          <w:szCs w:val="32"/>
          <w:lang w:val="en-US" w:eastAsia="zh-CN"/>
        </w:rPr>
        <w:fldChar w:fldCharType="separate"/>
      </w:r>
      <w:r>
        <w:rPr>
          <w:rFonts w:hint="eastAsia" w:ascii="仿宋_GB2312" w:hAnsi="Calibri" w:eastAsia="仿宋_GB2312" w:cs="Times New Roman"/>
          <w:sz w:val="32"/>
          <w:szCs w:val="32"/>
          <w:lang w:val="en-US" w:eastAsia="zh-CN"/>
        </w:rPr>
        <w:t>排污单位自行监测技术指南 总则》(HJ 819-2017)</w:t>
      </w:r>
      <w:r>
        <w:rPr>
          <w:rFonts w:hint="eastAsia" w:ascii="仿宋_GB2312" w:hAnsi="Calibri" w:eastAsia="仿宋_GB2312" w:cs="Times New Roman"/>
          <w:sz w:val="32"/>
          <w:szCs w:val="32"/>
          <w:lang w:val="en-US" w:eastAsia="zh-CN"/>
        </w:rPr>
        <w:fldChar w:fldCharType="end"/>
      </w:r>
      <w:r>
        <w:rPr>
          <w:rFonts w:hint="eastAsia" w:ascii="仿宋_GB2312" w:hAnsi="Calibri" w:eastAsia="仿宋_GB2312" w:cs="Times New Roman"/>
          <w:sz w:val="32"/>
          <w:szCs w:val="32"/>
          <w:lang w:val="en-US" w:eastAsia="zh-CN"/>
        </w:rPr>
        <w:t>中的规定对排放的二氯甲烷每半年监测一次，亦未开展环境安全隐患排查或采取有效措施防范环境风险。</w:t>
      </w:r>
    </w:p>
    <w:p w14:paraId="78E765A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Calibri" w:eastAsia="仿宋_GB2312" w:cs="Times New Roman"/>
          <w:sz w:val="32"/>
          <w:szCs w:val="32"/>
          <w:lang w:val="en-US" w:eastAsia="zh-CN"/>
        </w:rPr>
      </w:pPr>
      <w:r>
        <w:rPr>
          <w:rFonts w:hint="eastAsia" w:ascii="仿宋_GB2312" w:hAnsi="Calibri" w:eastAsia="仿宋_GB2312" w:cs="Times New Roman"/>
          <w:sz w:val="32"/>
          <w:szCs w:val="32"/>
          <w:lang w:val="en-US" w:eastAsia="zh-CN"/>
        </w:rPr>
        <w:t>2026年7月23日，我局执法人员到现场进行复查，</w:t>
      </w:r>
      <w:r>
        <w:rPr>
          <w:rFonts w:hint="eastAsia" w:ascii="仿宋_GB2312" w:eastAsia="仿宋_GB2312"/>
          <w:sz w:val="32"/>
          <w:szCs w:val="32"/>
          <w:lang w:val="en-US" w:eastAsia="zh-CN"/>
        </w:rPr>
        <w:t>你单位</w:t>
      </w:r>
      <w:r>
        <w:rPr>
          <w:rFonts w:hint="eastAsia" w:ascii="仿宋_GB2312" w:hAnsi="Calibri" w:eastAsia="仿宋_GB2312" w:cs="Times New Roman"/>
          <w:sz w:val="32"/>
          <w:szCs w:val="32"/>
          <w:lang w:val="en-US" w:eastAsia="zh-CN"/>
        </w:rPr>
        <w:t>已将剩余的二氯甲烷退回给供应商，现场已无存放该物料，</w:t>
      </w:r>
      <w:r>
        <w:rPr>
          <w:rFonts w:hint="eastAsia" w:ascii="仿宋_GB2312" w:eastAsia="仿宋_GB2312"/>
          <w:sz w:val="32"/>
          <w:szCs w:val="32"/>
          <w:lang w:val="en-US" w:eastAsia="zh-CN"/>
        </w:rPr>
        <w:t>你单位</w:t>
      </w:r>
      <w:r>
        <w:rPr>
          <w:rFonts w:hint="eastAsia" w:ascii="仿宋_GB2312" w:hAnsi="Calibri" w:eastAsia="仿宋_GB2312" w:cs="Times New Roman"/>
          <w:sz w:val="32"/>
          <w:szCs w:val="32"/>
          <w:lang w:val="en-US" w:eastAsia="zh-CN"/>
        </w:rPr>
        <w:t>已同步向我局提交《整改情况报告》，即</w:t>
      </w:r>
      <w:r>
        <w:rPr>
          <w:rFonts w:hint="eastAsia" w:ascii="仿宋_GB2312" w:eastAsia="仿宋_GB2312"/>
          <w:sz w:val="32"/>
          <w:szCs w:val="32"/>
          <w:lang w:val="en-US" w:eastAsia="zh-CN"/>
        </w:rPr>
        <w:t>你单位</w:t>
      </w:r>
      <w:r>
        <w:rPr>
          <w:rFonts w:hint="eastAsia" w:ascii="仿宋_GB2312" w:hAnsi="Calibri" w:eastAsia="仿宋_GB2312" w:cs="Times New Roman"/>
          <w:sz w:val="32"/>
          <w:szCs w:val="32"/>
          <w:lang w:val="en-US" w:eastAsia="zh-CN"/>
        </w:rPr>
        <w:t>已主动改正违法行为。</w:t>
      </w:r>
    </w:p>
    <w:p w14:paraId="0A45EF4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5D17B2DF">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1.2026年7</w:t>
      </w:r>
      <w:r>
        <w:rPr>
          <w:rFonts w:hint="eastAsia" w:ascii="仿宋_GB2312" w:eastAsia="仿宋_GB2312"/>
          <w:sz w:val="32"/>
          <w:szCs w:val="32"/>
        </w:rPr>
        <w:t>月</w:t>
      </w:r>
      <w:r>
        <w:rPr>
          <w:rFonts w:hint="eastAsia" w:ascii="仿宋_GB2312" w:eastAsia="仿宋_GB2312"/>
          <w:sz w:val="32"/>
          <w:szCs w:val="32"/>
          <w:lang w:val="en-US" w:eastAsia="zh-CN"/>
        </w:rPr>
        <w:t>6</w:t>
      </w:r>
      <w:r>
        <w:rPr>
          <w:rFonts w:hint="eastAsia" w:ascii="仿宋_GB2312" w:eastAsia="仿宋_GB2312"/>
          <w:sz w:val="32"/>
          <w:szCs w:val="32"/>
        </w:rPr>
        <w:t>日</w:t>
      </w:r>
      <w:r>
        <w:rPr>
          <w:rFonts w:hint="eastAsia" w:ascii="仿宋_GB2312" w:eastAsia="仿宋_GB2312"/>
          <w:sz w:val="32"/>
          <w:szCs w:val="32"/>
          <w:lang w:val="en-US" w:eastAsia="zh-CN"/>
        </w:rPr>
        <w:t>江门市生态环境局执法人员现场检查所作的《行政检查情况记录表》、2026年7月23日江门市生态环境局执法人员现场检查所作的《江门市生态环境局蓬江分局现场检查（勘察）笔录》。</w:t>
      </w:r>
    </w:p>
    <w:p w14:paraId="5F7F8E4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2.2026年7</w:t>
      </w:r>
      <w:r>
        <w:rPr>
          <w:rFonts w:hint="eastAsia" w:ascii="仿宋_GB2312" w:eastAsia="仿宋_GB2312"/>
          <w:sz w:val="32"/>
          <w:szCs w:val="32"/>
        </w:rPr>
        <w:t>月</w:t>
      </w:r>
      <w:r>
        <w:rPr>
          <w:rFonts w:hint="eastAsia" w:ascii="仿宋_GB2312" w:eastAsia="仿宋_GB2312"/>
          <w:sz w:val="32"/>
          <w:szCs w:val="32"/>
          <w:lang w:val="en-US" w:eastAsia="zh-CN"/>
        </w:rPr>
        <w:t>6日、7月23日江门市生态环境局执法人员现场询问所作的《江门市生态环境局调查询问笔录》。</w:t>
      </w:r>
    </w:p>
    <w:p w14:paraId="526FC75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3.2026年7</w:t>
      </w:r>
      <w:r>
        <w:rPr>
          <w:rFonts w:hint="eastAsia" w:ascii="仿宋_GB2312" w:eastAsia="仿宋_GB2312"/>
          <w:sz w:val="32"/>
          <w:szCs w:val="32"/>
        </w:rPr>
        <w:t>月</w:t>
      </w:r>
      <w:r>
        <w:rPr>
          <w:rFonts w:hint="eastAsia" w:ascii="仿宋_GB2312" w:eastAsia="仿宋_GB2312"/>
          <w:sz w:val="32"/>
          <w:szCs w:val="32"/>
          <w:lang w:val="en-US" w:eastAsia="zh-CN"/>
        </w:rPr>
        <w:t>6日、7月23日江门市生态环境局执法人员现场检查、调查询问时所拍摄的视频资料和照片资料。</w:t>
      </w:r>
    </w:p>
    <w:p w14:paraId="2422954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4.2026年7月6日江门市汇兴科技有限公司提供的原辅材料购销清单打印件、2026年7月23日江门市汇兴科技有限公司提供的《整改情况报告》《化学品安全技术说明书》（产品名称：二氯甲烷）。</w:t>
      </w:r>
    </w:p>
    <w:p w14:paraId="5068472F">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5.2026年7月23日江门市生态环境局执法人员制作的《建设项目环境影响报告表》（节选）打印件、《江门市汇兴科技有限公司年产180万件定制海绵、9000立方米切割海绵、摩托车坐垫10万件和电动车坐垫10万件迁建项目（一期）竣工环境保护验收监测报告》（节选）打印件。</w:t>
      </w:r>
    </w:p>
    <w:p w14:paraId="7B34FC3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证据1、2、3、4、5证明一是你单位主体信息、现场负责人及法定代表人的身份信息；二是你单位</w:t>
      </w:r>
      <w:r>
        <w:rPr>
          <w:rFonts w:hint="eastAsia" w:ascii="仿宋_GB2312" w:hAnsi="Calibri" w:eastAsia="仿宋_GB2312" w:cs="Times New Roman"/>
          <w:sz w:val="32"/>
          <w:szCs w:val="32"/>
          <w:lang w:val="en-US" w:eastAsia="zh-CN"/>
        </w:rPr>
        <w:t>主要从事摩托车配件制造项目，检查时发现原料仓内存放装有二氯甲烷的原料桶的事实</w:t>
      </w:r>
      <w:r>
        <w:rPr>
          <w:rFonts w:hint="eastAsia" w:ascii="仿宋_GB2312" w:eastAsia="仿宋_GB2312"/>
          <w:sz w:val="32"/>
          <w:szCs w:val="32"/>
          <w:lang w:val="en-US" w:eastAsia="zh-CN"/>
        </w:rPr>
        <w:t>；三是</w:t>
      </w:r>
      <w:r>
        <w:rPr>
          <w:rFonts w:hint="eastAsia" w:ascii="仿宋_GB2312" w:hAnsi="Calibri" w:eastAsia="仿宋_GB2312" w:cs="Times New Roman"/>
          <w:sz w:val="32"/>
          <w:szCs w:val="32"/>
          <w:lang w:val="en-US" w:eastAsia="zh-CN"/>
        </w:rPr>
        <w:t>二氯甲烷属于《有毒有害大气污染物名录（2018）》中有毒有害大气污染物且具有挥发特性的情况；四是</w:t>
      </w:r>
      <w:r>
        <w:rPr>
          <w:rFonts w:hint="eastAsia" w:ascii="仿宋_GB2312" w:eastAsia="仿宋_GB2312"/>
          <w:sz w:val="32"/>
          <w:szCs w:val="32"/>
          <w:lang w:val="en-US" w:eastAsia="zh-CN"/>
        </w:rPr>
        <w:t>你单位</w:t>
      </w:r>
      <w:r>
        <w:rPr>
          <w:rFonts w:hint="eastAsia" w:ascii="仿宋_GB2312" w:hAnsi="Calibri" w:eastAsia="仿宋_GB2312" w:cs="Times New Roman"/>
          <w:sz w:val="32"/>
          <w:szCs w:val="32"/>
          <w:lang w:val="en-US" w:eastAsia="zh-CN"/>
        </w:rPr>
        <w:t>使用二氯甲烷用于清洗发泡机注料枪头，二氯甲烷清洗枪头所在工位已配套废气收集管道，产生的挥发废气经过废气治理设施（干式过滤+二级活性碳吸附）处理后排放的事实；五是你单位未对排放的二氯甲烷进行定期监测，也未开展环境安全隐患排查或采取有效措施防范环境风险的事实；六是你单位已主动改正违法行为的事实</w:t>
      </w:r>
      <w:r>
        <w:rPr>
          <w:rFonts w:hint="eastAsia" w:ascii="仿宋_GB2312" w:eastAsia="仿宋_GB2312"/>
          <w:sz w:val="32"/>
          <w:szCs w:val="32"/>
          <w:lang w:val="en-US" w:eastAsia="zh-CN"/>
        </w:rPr>
        <w:t>。</w:t>
      </w:r>
    </w:p>
    <w:p w14:paraId="6BC24CB9">
      <w:pPr>
        <w:keepNext w:val="0"/>
        <w:keepLines w:val="0"/>
        <w:pageBreakBefore w:val="0"/>
        <w:widowControl w:val="0"/>
        <w:shd w:val="clear" w:color="auto" w:fill="FFFFFF"/>
        <w:kinsoku/>
        <w:wordWrap/>
        <w:overflowPunct/>
        <w:topLinePunct w:val="0"/>
        <w:autoSpaceDE/>
        <w:autoSpaceDN/>
        <w:bidi w:val="0"/>
        <w:adjustRightInd w:val="0"/>
        <w:snapToGrid w:val="0"/>
        <w:spacing w:line="576" w:lineRule="exact"/>
        <w:ind w:firstLine="640" w:firstLineChars="20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6.2026年7月6日江门市汇兴科技有限公司提供的《授权委托书》一份。</w:t>
      </w:r>
    </w:p>
    <w:p w14:paraId="1F2FCDA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证据6证明</w:t>
      </w:r>
      <w:r>
        <w:rPr>
          <w:rFonts w:hint="eastAsia" w:ascii="仿宋_GB2312" w:hAnsi="仿宋_GB2312" w:eastAsia="仿宋_GB2312" w:cs="仿宋_GB2312"/>
          <w:sz w:val="32"/>
          <w:szCs w:val="32"/>
          <w:lang w:val="en-US" w:eastAsia="zh-CN"/>
        </w:rPr>
        <w:t>你单位</w:t>
      </w:r>
      <w:r>
        <w:rPr>
          <w:rFonts w:hint="eastAsia" w:ascii="仿宋_GB2312" w:eastAsia="仿宋_GB2312"/>
          <w:sz w:val="32"/>
          <w:szCs w:val="32"/>
          <w:lang w:val="en-US" w:eastAsia="zh-CN"/>
        </w:rPr>
        <w:t>已授权委托容X其（身份证号码：44XXXXXXXX</w:t>
      </w:r>
      <w:bookmarkStart w:id="0" w:name="_GoBack"/>
      <w:bookmarkEnd w:id="0"/>
      <w:r>
        <w:rPr>
          <w:rFonts w:hint="eastAsia" w:ascii="仿宋_GB2312" w:eastAsia="仿宋_GB2312"/>
          <w:sz w:val="32"/>
          <w:szCs w:val="32"/>
          <w:lang w:val="en-US" w:eastAsia="zh-CN"/>
        </w:rPr>
        <w:t>12）</w:t>
      </w:r>
      <w:r>
        <w:rPr>
          <w:rFonts w:hint="eastAsia" w:ascii="仿宋_GB2312" w:hAnsi="仿宋_GB2312" w:eastAsia="仿宋_GB2312" w:cs="仿宋_GB2312"/>
          <w:sz w:val="32"/>
          <w:szCs w:val="32"/>
          <w:lang w:val="en-US" w:eastAsia="zh-CN"/>
        </w:rPr>
        <w:t>配合调查、签收法律文书和代为行使或放弃陈述申辩及听证权利等事项</w:t>
      </w:r>
      <w:r>
        <w:rPr>
          <w:rFonts w:hint="eastAsia" w:ascii="仿宋_GB2312" w:eastAsia="仿宋_GB2312"/>
          <w:sz w:val="32"/>
          <w:szCs w:val="32"/>
          <w:lang w:val="en-US" w:eastAsia="zh-CN"/>
        </w:rPr>
        <w:t>。</w:t>
      </w:r>
    </w:p>
    <w:p w14:paraId="0F1653B2">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7.2026年7月6日江门市生态环境局执法人员调查所作的《江门市生态环境局当事人送达地址确认书》。</w:t>
      </w:r>
    </w:p>
    <w:p w14:paraId="029FD834">
      <w:pPr>
        <w:keepNext w:val="0"/>
        <w:keepLines w:val="0"/>
        <w:pageBreakBefore w:val="0"/>
        <w:widowControl w:val="0"/>
        <w:kinsoku/>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证据7证明你单位已提供经确认过的送达地址和方式</w:t>
      </w:r>
      <w:r>
        <w:rPr>
          <w:rFonts w:hint="eastAsia" w:ascii="仿宋_GB2312" w:hAnsi="仿宋_GB2312" w:eastAsia="仿宋_GB2312" w:cs="仿宋_GB2312"/>
          <w:sz w:val="32"/>
          <w:szCs w:val="32"/>
          <w:lang w:val="en-US" w:eastAsia="zh-CN"/>
        </w:rPr>
        <w:t>。</w:t>
      </w:r>
    </w:p>
    <w:p w14:paraId="34C53445">
      <w:pPr>
        <w:keepNext w:val="0"/>
        <w:keepLines w:val="0"/>
        <w:pageBreakBefore w:val="0"/>
        <w:widowControl w:val="0"/>
        <w:numPr>
          <w:ilvl w:val="0"/>
          <w:numId w:val="1"/>
        </w:numPr>
        <w:kinsoku/>
        <w:overflowPunct/>
        <w:topLinePunct w:val="0"/>
        <w:autoSpaceDE/>
        <w:autoSpaceDN/>
        <w:bidi w:val="0"/>
        <w:adjustRightInd w:val="0"/>
        <w:snapToGrid w:val="0"/>
        <w:spacing w:line="576" w:lineRule="exact"/>
        <w:ind w:left="0" w:leftChars="0" w:firstLine="640" w:firstLineChars="200"/>
        <w:jc w:val="both"/>
        <w:textAlignment w:val="auto"/>
        <w:rPr>
          <w:rFonts w:ascii="黑体" w:hAnsi="黑体" w:eastAsia="黑体" w:cs="黑体"/>
          <w:sz w:val="32"/>
          <w:szCs w:val="32"/>
        </w:rPr>
      </w:pPr>
      <w:r>
        <w:rPr>
          <w:rFonts w:hint="eastAsia" w:ascii="黑体" w:hAnsi="黑体" w:eastAsia="黑体" w:cs="黑体"/>
          <w:sz w:val="32"/>
          <w:szCs w:val="32"/>
        </w:rPr>
        <w:t>责令改正的依据、种类及其履行方式和期限</w:t>
      </w:r>
    </w:p>
    <w:p w14:paraId="66D75198">
      <w:pPr>
        <w:keepNext w:val="0"/>
        <w:keepLines w:val="0"/>
        <w:pageBreakBefore w:val="0"/>
        <w:widowControl w:val="0"/>
        <w:kinsoku/>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你单位的上述行为，违反了</w:t>
      </w:r>
      <w:r>
        <w:rPr>
          <w:rFonts w:hint="eastAsia" w:ascii="仿宋_GB2312" w:hAnsi="仿宋_GB2312" w:eastAsia="仿宋_GB2312" w:cs="仿宋_GB2312"/>
          <w:sz w:val="32"/>
          <w:szCs w:val="32"/>
          <w:lang w:val="en-US" w:eastAsia="zh-CN"/>
        </w:rPr>
        <w:t>《中华人民共和国大气污染防治法》第七十八条第一款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国务院生态环境主管部门应当会同国务院卫生行政部门，根据大气污染物对公众健康和生态环境的危害和影响程度，公布有毒有害大气污染物名录，实行风险管理。</w:t>
      </w:r>
      <w:r>
        <w:rPr>
          <w:rFonts w:hint="eastAsia" w:ascii="仿宋_GB2312" w:hAnsi="仿宋_GB2312" w:eastAsia="仿宋_GB2312" w:cs="仿宋_GB2312"/>
          <w:sz w:val="32"/>
          <w:szCs w:val="32"/>
          <w:lang w:eastAsia="zh-CN"/>
        </w:rPr>
        <w:t>”、第二款“</w:t>
      </w:r>
      <w:r>
        <w:rPr>
          <w:rFonts w:hint="eastAsia" w:ascii="仿宋_GB2312" w:hAnsi="仿宋_GB2312" w:eastAsia="仿宋_GB2312" w:cs="仿宋_GB2312"/>
          <w:sz w:val="32"/>
          <w:szCs w:val="32"/>
          <w:lang w:val="en-US" w:eastAsia="zh-CN"/>
        </w:rPr>
        <w:t>排放前款规定名录中所列有毒有害大气污染物的企业事业单位，应当按照国家有关规定建设环境风险预警体系，对排放口和周边环境进行定期监测，评估环境风险，排查环境安全隐患，并采取有效措施防范环境风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的规定，依据《</w:t>
      </w:r>
      <w:r>
        <w:rPr>
          <w:rFonts w:hint="eastAsia" w:ascii="仿宋_GB2312" w:hAnsi="仿宋_GB2312" w:eastAsia="仿宋_GB2312" w:cs="仿宋_GB2312"/>
          <w:sz w:val="32"/>
          <w:szCs w:val="32"/>
          <w:lang w:val="en-US" w:eastAsia="zh-CN"/>
        </w:rPr>
        <w:t>中华人民共和国大气污染防治法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第一百一十七条第六项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违反本法规定，有下列行为之一的，由县级以上人民政府生态环境等主管部门按照职责责令改正，处一万元以上十万元以下的罚款；拒不改正的，责令停工整治或者停业整治：（六）排放有毒有害大气污染物名录中所列有毒有害大气污染物的企业事业单位，未按照规定建设环境风险预警体系或者对排放口和周边环境进行定期监测、排查环境安全隐患并采取有效措施防范环境风险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的规定，</w:t>
      </w:r>
      <w:r>
        <w:rPr>
          <w:rFonts w:hint="eastAsia" w:ascii="仿宋_GB2312" w:hAnsi="仿宋_GB2312" w:eastAsia="仿宋_GB2312" w:cs="仿宋_GB2312"/>
          <w:b/>
          <w:bCs/>
          <w:sz w:val="32"/>
          <w:szCs w:val="32"/>
        </w:rPr>
        <w:t>我局责令你单位自收到本决定书之日起立即改正排放有毒有害大气污染物名录中所列有毒有害大气污染物</w:t>
      </w:r>
      <w:r>
        <w:rPr>
          <w:rFonts w:hint="eastAsia" w:ascii="仿宋_GB2312" w:hAnsi="仿宋_GB2312" w:eastAsia="仿宋_GB2312" w:cs="仿宋_GB2312"/>
          <w:b/>
          <w:bCs/>
          <w:sz w:val="32"/>
          <w:szCs w:val="32"/>
          <w:lang w:val="en-US" w:eastAsia="zh-CN"/>
        </w:rPr>
        <w:t>时</w:t>
      </w:r>
      <w:r>
        <w:rPr>
          <w:rFonts w:hint="eastAsia" w:ascii="仿宋_GB2312" w:hAnsi="仿宋_GB2312" w:eastAsia="仿宋_GB2312" w:cs="仿宋_GB2312"/>
          <w:b/>
          <w:bCs/>
          <w:sz w:val="32"/>
          <w:szCs w:val="32"/>
        </w:rPr>
        <w:t>，未按照规定建设环境风险预警体系或者对排放口和周边环境进行定期监测</w:t>
      </w:r>
      <w:r>
        <w:rPr>
          <w:rFonts w:hint="eastAsia" w:ascii="仿宋_GB2312" w:hAnsi="仿宋_GB2312" w:eastAsia="仿宋_GB2312" w:cs="仿宋_GB2312"/>
          <w:b/>
          <w:bCs/>
          <w:sz w:val="32"/>
          <w:szCs w:val="32"/>
          <w:lang w:val="en-US" w:eastAsia="zh-CN"/>
        </w:rPr>
        <w:t>、排查环境安全隐患并采取有效措施防范环境风险</w:t>
      </w:r>
      <w:r>
        <w:rPr>
          <w:rFonts w:hint="eastAsia" w:ascii="仿宋_GB2312" w:hAnsi="仿宋_GB2312" w:eastAsia="仿宋_GB2312" w:cs="仿宋_GB2312"/>
          <w:b/>
          <w:bCs/>
          <w:sz w:val="32"/>
          <w:szCs w:val="32"/>
        </w:rPr>
        <w:t>的违法行为。</w:t>
      </w:r>
    </w:p>
    <w:p w14:paraId="3A8546B2">
      <w:pPr>
        <w:keepNext w:val="0"/>
        <w:keepLines w:val="0"/>
        <w:pageBreakBefore w:val="0"/>
        <w:overflowPunct/>
        <w:topLinePunct w:val="0"/>
        <w:autoSpaceDE/>
        <w:autoSpaceDN/>
        <w:bidi w:val="0"/>
        <w:adjustRightInd w:val="0"/>
        <w:snapToGrid w:val="0"/>
        <w:spacing w:line="576" w:lineRule="exact"/>
        <w:ind w:left="0" w:leftChars="0" w:firstLine="643" w:firstLineChars="200"/>
        <w:jc w:val="both"/>
        <w:rPr>
          <w:rFonts w:hint="eastAsia" w:ascii="仿宋_GB2312" w:hAnsi="仿宋_GB2312" w:eastAsia="仿宋_GB2312" w:cs="仿宋_GB2312"/>
          <w:b/>
          <w:bCs/>
          <w:color w:val="0000FF"/>
          <w:sz w:val="32"/>
          <w:szCs w:val="32"/>
        </w:rPr>
      </w:pPr>
      <w:r>
        <w:rPr>
          <w:rFonts w:hint="eastAsia" w:ascii="仿宋_GB2312" w:hAnsi="仿宋_GB2312" w:eastAsia="仿宋_GB2312" w:cs="仿宋_GB2312"/>
          <w:b/>
          <w:bCs/>
          <w:sz w:val="32"/>
          <w:szCs w:val="32"/>
        </w:rPr>
        <w:t>我局将对你单位改正违法行为的情况进行监督，如你单位逾期不改正上述环境违法行为，我局将依照《</w:t>
      </w:r>
      <w:r>
        <w:rPr>
          <w:rFonts w:hint="eastAsia" w:ascii="仿宋_GB2312" w:hAnsi="仿宋_GB2312" w:eastAsia="仿宋_GB2312" w:cs="仿宋_GB2312"/>
          <w:b/>
          <w:bCs/>
          <w:sz w:val="32"/>
          <w:szCs w:val="32"/>
          <w:lang w:val="en-US" w:eastAsia="zh-CN"/>
        </w:rPr>
        <w:t>中华人民共和国大气污染防治法</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第一百一十七条第六项</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违反本法规定，有下列行为之一的，由县级以上人民政府生态环境等主管部门按照职责责令改正，处一万元以上十万元以下的罚款；拒不改正的，责令停工整治或者停业整治：（六）排放有毒有害大气污染物名录中所列有毒有害大气污染物的企业事业单位，未按照规定建设环境风险预警体系或者对排放口和周边环境进行定期监测、排查环境安全隐患并采取有效措施防范环境风险的。</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的规定，依法对你单位</w:t>
      </w:r>
      <w:r>
        <w:rPr>
          <w:rFonts w:hint="eastAsia" w:ascii="仿宋_GB2312" w:hAnsi="仿宋_GB2312" w:eastAsia="仿宋_GB2312" w:cs="仿宋_GB2312"/>
          <w:b/>
          <w:bCs/>
          <w:sz w:val="32"/>
          <w:szCs w:val="32"/>
          <w:lang w:eastAsia="zh-CN"/>
        </w:rPr>
        <w:t>责令停工整治或者停业整治</w:t>
      </w:r>
      <w:r>
        <w:rPr>
          <w:rFonts w:hint="eastAsia" w:ascii="仿宋_GB2312" w:hAnsi="仿宋_GB2312" w:eastAsia="仿宋_GB2312" w:cs="仿宋_GB2312"/>
          <w:b/>
          <w:bCs/>
          <w:sz w:val="32"/>
          <w:szCs w:val="32"/>
        </w:rPr>
        <w:t>。</w:t>
      </w:r>
    </w:p>
    <w:p w14:paraId="73792051">
      <w:pPr>
        <w:keepNext w:val="0"/>
        <w:keepLines w:val="0"/>
        <w:pageBreakBefore w:val="0"/>
        <w:widowControl w:val="0"/>
        <w:kinsoku/>
        <w:overflowPunct/>
        <w:topLinePunct w:val="0"/>
        <w:autoSpaceDE/>
        <w:autoSpaceDN/>
        <w:bidi w:val="0"/>
        <w:adjustRightInd w:val="0"/>
        <w:snapToGrid w:val="0"/>
        <w:spacing w:line="576" w:lineRule="exact"/>
        <w:ind w:left="0" w:leftChars="0"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三、</w:t>
      </w:r>
      <w:r>
        <w:rPr>
          <w:rFonts w:hint="eastAsia" w:ascii="黑体" w:hAnsi="黑体" w:eastAsia="黑体"/>
          <w:sz w:val="32"/>
          <w:szCs w:val="32"/>
        </w:rPr>
        <w:t>申请复议或者提起诉讼的途径和期限</w:t>
      </w:r>
    </w:p>
    <w:p w14:paraId="60317D58">
      <w:pPr>
        <w:keepNext w:val="0"/>
        <w:keepLines w:val="0"/>
        <w:pageBreakBefore w:val="0"/>
        <w:widowControl w:val="0"/>
        <w:kinsoku/>
        <w:overflowPunct/>
        <w:topLinePunct w:val="0"/>
        <w:autoSpaceDE/>
        <w:autoSpaceDN/>
        <w:bidi w:val="0"/>
        <w:adjustRightInd w:val="0"/>
        <w:snapToGrid w:val="0"/>
        <w:spacing w:line="576"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49C51479">
      <w:pPr>
        <w:keepNext w:val="0"/>
        <w:keepLines w:val="0"/>
        <w:pageBreakBefore w:val="0"/>
        <w:widowControl w:val="0"/>
        <w:kinsoku/>
        <w:overflowPunct/>
        <w:topLinePunct w:val="0"/>
        <w:autoSpaceDE/>
        <w:autoSpaceDN/>
        <w:bidi w:val="0"/>
        <w:adjustRightInd w:val="0"/>
        <w:snapToGrid w:val="0"/>
        <w:spacing w:line="576" w:lineRule="exact"/>
        <w:ind w:left="0" w:leftChars="0"/>
        <w:jc w:val="both"/>
        <w:textAlignment w:val="auto"/>
        <w:rPr>
          <w:rFonts w:ascii="仿宋_GB2312" w:hAnsi="仿宋" w:eastAsia="仿宋_GB2312" w:cs="Times New Roman"/>
          <w:snapToGrid/>
          <w:kern w:val="2"/>
          <w:sz w:val="32"/>
          <w:szCs w:val="32"/>
        </w:rPr>
      </w:pPr>
    </w:p>
    <w:p w14:paraId="7CDD6331">
      <w:pPr>
        <w:keepNext w:val="0"/>
        <w:keepLines w:val="0"/>
        <w:pageBreakBefore w:val="0"/>
        <w:widowControl w:val="0"/>
        <w:kinsoku/>
        <w:overflowPunct/>
        <w:topLinePunct w:val="0"/>
        <w:autoSpaceDE/>
        <w:autoSpaceDN/>
        <w:bidi w:val="0"/>
        <w:adjustRightInd w:val="0"/>
        <w:snapToGrid w:val="0"/>
        <w:spacing w:line="576" w:lineRule="exact"/>
        <w:ind w:left="945" w:leftChars="304" w:hanging="307" w:hangingChars="96"/>
        <w:textAlignment w:val="auto"/>
        <w:rPr>
          <w:rFonts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0FA67EED">
      <w:pPr>
        <w:keepNext w:val="0"/>
        <w:keepLines w:val="0"/>
        <w:pageBreakBefore w:val="0"/>
        <w:widowControl w:val="0"/>
        <w:kinsoku/>
        <w:overflowPunct/>
        <w:topLinePunct w:val="0"/>
        <w:autoSpaceDE/>
        <w:autoSpaceDN/>
        <w:bidi w:val="0"/>
        <w:adjustRightInd w:val="0"/>
        <w:snapToGrid w:val="0"/>
        <w:spacing w:line="576" w:lineRule="exact"/>
        <w:ind w:left="945" w:leftChars="304" w:hanging="307" w:hangingChars="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w:t>
      </w:r>
      <w:r>
        <w:rPr>
          <w:rFonts w:hint="eastAsia" w:ascii="仿宋_GB2312" w:hAnsi="仿宋_GB2312" w:eastAsia="仿宋_GB2312" w:cs="仿宋_GB2312"/>
          <w:snapToGrid/>
          <w:kern w:val="2"/>
          <w:sz w:val="32"/>
          <w:szCs w:val="32"/>
          <w:lang w:val="en-US" w:eastAsia="zh-CN"/>
        </w:rPr>
        <w:t>960</w:t>
      </w:r>
      <w:r>
        <w:rPr>
          <w:rFonts w:hint="eastAsia" w:ascii="仿宋_GB2312" w:hAnsi="仿宋_GB2312" w:eastAsia="仿宋_GB2312" w:cs="仿宋_GB2312"/>
          <w:snapToGrid/>
          <w:kern w:val="2"/>
          <w:sz w:val="32"/>
          <w:szCs w:val="32"/>
        </w:rPr>
        <w:t>。</w:t>
      </w:r>
    </w:p>
    <w:p w14:paraId="25979A9A">
      <w:pPr>
        <w:keepNext w:val="0"/>
        <w:keepLines w:val="0"/>
        <w:pageBreakBefore w:val="0"/>
        <w:widowControl w:val="0"/>
        <w:kinsoku/>
        <w:overflowPunct/>
        <w:topLinePunct w:val="0"/>
        <w:autoSpaceDE/>
        <w:autoSpaceDN/>
        <w:bidi w:val="0"/>
        <w:adjustRightInd w:val="0"/>
        <w:snapToGrid w:val="0"/>
        <w:spacing w:line="576" w:lineRule="exact"/>
        <w:jc w:val="both"/>
        <w:textAlignment w:val="auto"/>
        <w:rPr>
          <w:rFonts w:hint="eastAsia" w:ascii="仿宋_GB2312" w:hAnsi="仿宋_GB2312" w:eastAsia="仿宋_GB2312" w:cs="仿宋_GB2312"/>
          <w:snapToGrid/>
          <w:kern w:val="2"/>
          <w:sz w:val="32"/>
          <w:szCs w:val="32"/>
        </w:rPr>
      </w:pPr>
    </w:p>
    <w:p w14:paraId="2ED7FBB9">
      <w:pPr>
        <w:keepNext w:val="0"/>
        <w:keepLines w:val="0"/>
        <w:pageBreakBefore w:val="0"/>
        <w:widowControl w:val="0"/>
        <w:kinsoku/>
        <w:overflowPunct/>
        <w:topLinePunct w:val="0"/>
        <w:autoSpaceDE/>
        <w:autoSpaceDN/>
        <w:bidi w:val="0"/>
        <w:adjustRightInd w:val="0"/>
        <w:snapToGrid w:val="0"/>
        <w:spacing w:line="576" w:lineRule="exact"/>
        <w:jc w:val="both"/>
        <w:textAlignment w:val="auto"/>
        <w:rPr>
          <w:rFonts w:hint="eastAsia" w:ascii="仿宋_GB2312" w:hAnsi="仿宋_GB2312" w:eastAsia="仿宋_GB2312" w:cs="仿宋_GB2312"/>
          <w:snapToGrid/>
          <w:kern w:val="2"/>
          <w:sz w:val="32"/>
          <w:szCs w:val="32"/>
        </w:rPr>
      </w:pPr>
    </w:p>
    <w:p w14:paraId="6589EA13">
      <w:pPr>
        <w:keepNext w:val="0"/>
        <w:keepLines w:val="0"/>
        <w:pageBreakBefore w:val="0"/>
        <w:widowControl w:val="0"/>
        <w:kinsoku/>
        <w:wordWrap w:val="0"/>
        <w:overflowPunct/>
        <w:topLinePunct w:val="0"/>
        <w:autoSpaceDE/>
        <w:autoSpaceDN/>
        <w:bidi w:val="0"/>
        <w:adjustRightInd w:val="0"/>
        <w:snapToGrid w:val="0"/>
        <w:spacing w:line="576" w:lineRule="exact"/>
        <w:ind w:left="0" w:leftChars="0"/>
        <w:jc w:val="right"/>
        <w:textAlignment w:val="auto"/>
        <w:rPr>
          <w:rFonts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 xml:space="preserve">江门市生态环境局    </w:t>
      </w:r>
    </w:p>
    <w:p w14:paraId="2DE20BD7">
      <w:pPr>
        <w:keepNext w:val="0"/>
        <w:keepLines w:val="0"/>
        <w:pageBreakBefore w:val="0"/>
        <w:widowControl w:val="0"/>
        <w:kinsoku/>
        <w:wordWrap w:val="0"/>
        <w:overflowPunct/>
        <w:topLinePunct w:val="0"/>
        <w:autoSpaceDE/>
        <w:autoSpaceDN/>
        <w:bidi w:val="0"/>
        <w:adjustRightInd w:val="0"/>
        <w:snapToGrid w:val="0"/>
        <w:spacing w:line="576" w:lineRule="exact"/>
        <w:ind w:left="0" w:leftChars="0"/>
        <w:jc w:val="right"/>
        <w:textAlignment w:val="auto"/>
        <w:rPr>
          <w:rFonts w:hint="eastAsia"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202</w:t>
      </w:r>
      <w:r>
        <w:rPr>
          <w:rFonts w:hint="eastAsia" w:ascii="仿宋_GB2312" w:hAnsi="仿宋" w:eastAsia="仿宋_GB2312" w:cs="Times New Roman"/>
          <w:snapToGrid/>
          <w:kern w:val="2"/>
          <w:sz w:val="32"/>
          <w:szCs w:val="32"/>
          <w:lang w:val="en-US" w:eastAsia="zh-CN"/>
        </w:rPr>
        <w:t>6</w:t>
      </w:r>
      <w:r>
        <w:rPr>
          <w:rFonts w:hint="eastAsia" w:ascii="仿宋_GB2312" w:hAnsi="仿宋" w:eastAsia="仿宋_GB2312" w:cs="Times New Roman"/>
          <w:snapToGrid/>
          <w:kern w:val="2"/>
          <w:sz w:val="32"/>
          <w:szCs w:val="32"/>
        </w:rPr>
        <w:t>年</w:t>
      </w:r>
      <w:r>
        <w:rPr>
          <w:rFonts w:hint="eastAsia" w:ascii="仿宋_GB2312" w:hAnsi="仿宋" w:eastAsia="仿宋_GB2312" w:cs="Times New Roman"/>
          <w:snapToGrid/>
          <w:kern w:val="2"/>
          <w:sz w:val="32"/>
          <w:szCs w:val="32"/>
          <w:lang w:val="en-US" w:eastAsia="zh-CN"/>
        </w:rPr>
        <w:t>7</w:t>
      </w:r>
      <w:r>
        <w:rPr>
          <w:rFonts w:hint="eastAsia" w:ascii="仿宋_GB2312" w:hAnsi="仿宋" w:eastAsia="仿宋_GB2312" w:cs="Times New Roman"/>
          <w:snapToGrid/>
          <w:kern w:val="2"/>
          <w:sz w:val="32"/>
          <w:szCs w:val="32"/>
        </w:rPr>
        <w:t>月</w:t>
      </w:r>
      <w:r>
        <w:rPr>
          <w:rFonts w:hint="eastAsia" w:ascii="仿宋_GB2312" w:hAnsi="仿宋" w:eastAsia="仿宋_GB2312" w:cs="Times New Roman"/>
          <w:snapToGrid/>
          <w:kern w:val="2"/>
          <w:sz w:val="32"/>
          <w:szCs w:val="32"/>
          <w:lang w:val="en-US" w:eastAsia="zh-CN"/>
        </w:rPr>
        <w:t>28</w:t>
      </w:r>
      <w:r>
        <w:rPr>
          <w:rFonts w:hint="eastAsia" w:ascii="仿宋_GB2312" w:hAnsi="仿宋" w:eastAsia="仿宋_GB2312" w:cs="Times New Roman"/>
          <w:snapToGrid/>
          <w:kern w:val="2"/>
          <w:sz w:val="32"/>
          <w:szCs w:val="32"/>
        </w:rPr>
        <w:t xml:space="preserve">日    </w:t>
      </w:r>
    </w:p>
    <w:tbl>
      <w:tblPr>
        <w:tblStyle w:val="5"/>
        <w:tblpPr w:leftFromText="180" w:rightFromText="180" w:vertAnchor="text" w:horzAnchor="page" w:tblpX="1554" w:tblpY="9227"/>
        <w:tblW w:w="912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66A4E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51E20F19">
            <w:pPr>
              <w:keepNext w:val="0"/>
              <w:keepLines w:val="0"/>
              <w:pageBreakBefore w:val="0"/>
              <w:overflowPunct/>
              <w:topLinePunct w:val="0"/>
              <w:bidi w:val="0"/>
              <w:adjustRightInd w:val="0"/>
              <w:snapToGrid w:val="0"/>
              <w:spacing w:line="576" w:lineRule="exact"/>
              <w:ind w:left="960" w:hanging="960" w:hangingChars="3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抄送：</w:t>
            </w:r>
            <w:r>
              <w:rPr>
                <w:rFonts w:hint="eastAsia" w:ascii="仿宋_GB2312" w:hAnsi="仿宋_GB2312" w:eastAsia="仿宋_GB2312" w:cs="仿宋_GB2312"/>
                <w:sz w:val="32"/>
                <w:szCs w:val="32"/>
                <w:lang w:eastAsia="zh-CN"/>
              </w:rPr>
              <w:t>棠下</w:t>
            </w:r>
            <w:r>
              <w:rPr>
                <w:rFonts w:hint="eastAsia" w:ascii="仿宋_GB2312" w:hAnsi="仿宋" w:eastAsia="仿宋_GB2312" w:cs="Times New Roman"/>
                <w:snapToGrid/>
                <w:kern w:val="2"/>
                <w:sz w:val="32"/>
                <w:szCs w:val="32"/>
                <w:lang w:eastAsia="zh-CN"/>
              </w:rPr>
              <w:t>镇人民政府</w:t>
            </w:r>
          </w:p>
        </w:tc>
      </w:tr>
    </w:tbl>
    <w:p w14:paraId="12168749">
      <w:pPr>
        <w:keepNext w:val="0"/>
        <w:keepLines w:val="0"/>
        <w:pageBreakBefore w:val="0"/>
        <w:widowControl/>
        <w:kinsoku w:val="0"/>
        <w:wordWrap/>
        <w:overflowPunct/>
        <w:topLinePunct w:val="0"/>
        <w:autoSpaceDE w:val="0"/>
        <w:autoSpaceDN w:val="0"/>
        <w:bidi w:val="0"/>
        <w:adjustRightInd w:val="0"/>
        <w:snapToGrid w:val="0"/>
        <w:spacing w:line="576" w:lineRule="exact"/>
        <w:textAlignment w:val="baseline"/>
      </w:pPr>
    </w:p>
    <w:sectPr>
      <w:footerReference r:id="rId3"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8194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7323E">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E7323E">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647A56"/>
    <w:multiLevelType w:val="singleLevel"/>
    <w:tmpl w:val="C0647A5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023AFB"/>
    <w:rsid w:val="002237E9"/>
    <w:rsid w:val="00647BA4"/>
    <w:rsid w:val="07BD7771"/>
    <w:rsid w:val="08580825"/>
    <w:rsid w:val="09E153CF"/>
    <w:rsid w:val="0F450E31"/>
    <w:rsid w:val="13CD319C"/>
    <w:rsid w:val="13D54D30"/>
    <w:rsid w:val="185B5F58"/>
    <w:rsid w:val="190502F2"/>
    <w:rsid w:val="19E55FDE"/>
    <w:rsid w:val="1B7E435C"/>
    <w:rsid w:val="1C607043"/>
    <w:rsid w:val="1DAE4DCB"/>
    <w:rsid w:val="1DDC6A73"/>
    <w:rsid w:val="1E8768A2"/>
    <w:rsid w:val="1F7F79CC"/>
    <w:rsid w:val="1FF13E14"/>
    <w:rsid w:val="1FF2444B"/>
    <w:rsid w:val="24ED3020"/>
    <w:rsid w:val="257B169F"/>
    <w:rsid w:val="27082C6B"/>
    <w:rsid w:val="28EB3048"/>
    <w:rsid w:val="29A654AF"/>
    <w:rsid w:val="2B7E160C"/>
    <w:rsid w:val="2BA43C30"/>
    <w:rsid w:val="2D7B59C5"/>
    <w:rsid w:val="2DD83FC4"/>
    <w:rsid w:val="2F032F8E"/>
    <w:rsid w:val="332814EE"/>
    <w:rsid w:val="34787957"/>
    <w:rsid w:val="349E1460"/>
    <w:rsid w:val="37EA5D24"/>
    <w:rsid w:val="39A66C16"/>
    <w:rsid w:val="3A95066C"/>
    <w:rsid w:val="3A9651C3"/>
    <w:rsid w:val="3D5E034E"/>
    <w:rsid w:val="3EF232D4"/>
    <w:rsid w:val="413F04F1"/>
    <w:rsid w:val="437B34FA"/>
    <w:rsid w:val="43C350BE"/>
    <w:rsid w:val="45A35CF1"/>
    <w:rsid w:val="462B36BF"/>
    <w:rsid w:val="49684CDE"/>
    <w:rsid w:val="4A294D53"/>
    <w:rsid w:val="4D07132D"/>
    <w:rsid w:val="51053BF3"/>
    <w:rsid w:val="54A43D05"/>
    <w:rsid w:val="55A924DA"/>
    <w:rsid w:val="5615605E"/>
    <w:rsid w:val="5A6C5E26"/>
    <w:rsid w:val="5C73189B"/>
    <w:rsid w:val="5EBB6A14"/>
    <w:rsid w:val="63EA117A"/>
    <w:rsid w:val="69006D22"/>
    <w:rsid w:val="6BE44365"/>
    <w:rsid w:val="6C70648D"/>
    <w:rsid w:val="6D464D82"/>
    <w:rsid w:val="6FF7286B"/>
    <w:rsid w:val="738A7AD1"/>
    <w:rsid w:val="743A2544"/>
    <w:rsid w:val="77A60210"/>
    <w:rsid w:val="77BC0DAF"/>
    <w:rsid w:val="79944884"/>
    <w:rsid w:val="7B276391"/>
    <w:rsid w:val="7E6728F4"/>
    <w:rsid w:val="7E9C12A2"/>
    <w:rsid w:val="7FAD1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pPr>
    <w:rPr>
      <w:sz w:val="18"/>
      <w:szCs w:val="18"/>
    </w:rPr>
  </w:style>
  <w:style w:type="paragraph" w:styleId="4">
    <w:name w:val="header"/>
    <w:basedOn w:val="1"/>
    <w:link w:val="7"/>
    <w:qFormat/>
    <w:uiPriority w:val="0"/>
    <w:pPr>
      <w:pBdr>
        <w:bottom w:val="single" w:color="auto" w:sz="6" w:space="1"/>
      </w:pBdr>
      <w:tabs>
        <w:tab w:val="center" w:pos="4153"/>
        <w:tab w:val="right" w:pos="8306"/>
      </w:tabs>
      <w:jc w:val="center"/>
    </w:pPr>
    <w:rPr>
      <w:sz w:val="18"/>
      <w:szCs w:val="18"/>
    </w:rPr>
  </w:style>
  <w:style w:type="character" w:customStyle="1" w:styleId="7">
    <w:name w:val="页眉 Char"/>
    <w:basedOn w:val="6"/>
    <w:link w:val="4"/>
    <w:qFormat/>
    <w:uiPriority w:val="0"/>
    <w:rPr>
      <w:rFonts w:ascii="Arial" w:hAnsi="Arial" w:eastAsia="Arial" w:cs="Arial"/>
      <w:snapToGrid w:val="0"/>
      <w:color w:val="000000"/>
      <w:sz w:val="18"/>
      <w:szCs w:val="18"/>
    </w:rPr>
  </w:style>
  <w:style w:type="character" w:customStyle="1" w:styleId="8">
    <w:name w:val="页脚 Char"/>
    <w:basedOn w:val="6"/>
    <w:link w:val="3"/>
    <w:qFormat/>
    <w:uiPriority w:val="0"/>
    <w:rPr>
      <w:rFonts w:ascii="Arial" w:hAnsi="Arial" w:eastAsia="Arial" w:cs="Arial"/>
      <w:snapToGrid w:val="0"/>
      <w:color w:val="000000"/>
      <w:sz w:val="18"/>
      <w:szCs w:val="18"/>
    </w:rPr>
  </w:style>
  <w:style w:type="character" w:customStyle="1" w:styleId="9">
    <w:name w:val="批注框文本 Char"/>
    <w:basedOn w:val="6"/>
    <w:link w:val="2"/>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5D8959-37DF-4893-A236-1A77AE66948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2457</Words>
  <Characters>2595</Characters>
  <Lines>5</Lines>
  <Paragraphs>1</Paragraphs>
  <TotalTime>1</TotalTime>
  <ScaleCrop>false</ScaleCrop>
  <LinksUpToDate>false</LinksUpToDate>
  <CharactersWithSpaces>2607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2023-11-30T07:23:00Z</cp:lastPrinted>
  <dcterms:modified xsi:type="dcterms:W3CDTF">2026-07-30T02:23:17Z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FDA9FF1EB42A42CF8974B3E474911862_11</vt:lpwstr>
  </property>
  <property fmtid="{D5CDD505-2E9C-101B-9397-08002B2CF9AE}" pid="4" name="KSOTemplateDocerSaveRecord">
    <vt:lpwstr>eyJoZGlkIjoiNDI2NTAyOGM4YjZjZmI2YTIzYjdhOGUzODRiNzI3OGQiLCJ1c2VySWQiOiI0MDk5NTExMDEifQ==</vt:lpwstr>
  </property>
</Properties>
</file>