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6F83B">
      <w:pPr>
        <w:keepNext w:val="0"/>
        <w:keepLines w:val="0"/>
        <w:pageBreakBefore w:val="0"/>
        <w:widowControl w:val="0"/>
        <w:kinsoku/>
        <w:overflowPunct/>
        <w:topLinePunct w:val="0"/>
        <w:autoSpaceDE/>
        <w:autoSpaceDN/>
        <w:bidi w:val="0"/>
        <w:adjustRightInd w:val="0"/>
        <w:snapToGrid w:val="0"/>
        <w:spacing w:line="520" w:lineRule="exact"/>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52645B6B">
      <w:pPr>
        <w:keepNext w:val="0"/>
        <w:keepLines w:val="0"/>
        <w:pageBreakBefore w:val="0"/>
        <w:overflowPunct/>
        <w:topLinePunct w:val="0"/>
        <w:bidi w:val="0"/>
        <w:adjustRightInd w:val="0"/>
        <w:snapToGrid w:val="0"/>
        <w:spacing w:line="52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6F09D507">
      <w:pPr>
        <w:keepNext w:val="0"/>
        <w:keepLines w:val="0"/>
        <w:pageBreakBefore w:val="0"/>
        <w:overflowPunct/>
        <w:topLinePunct w:val="0"/>
        <w:bidi w:val="0"/>
        <w:adjustRightInd w:val="0"/>
        <w:snapToGrid w:val="0"/>
        <w:spacing w:line="520" w:lineRule="exact"/>
      </w:pPr>
    </w:p>
    <w:p w14:paraId="4E715F7C">
      <w:pPr>
        <w:keepNext w:val="0"/>
        <w:keepLines w:val="0"/>
        <w:pageBreakBefore w:val="0"/>
        <w:wordWrap w:val="0"/>
        <w:overflowPunct/>
        <w:topLinePunct w:val="0"/>
        <w:bidi w:val="0"/>
        <w:adjustRightInd w:val="0"/>
        <w:snapToGrid w:val="0"/>
        <w:spacing w:line="520" w:lineRule="exact"/>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29</w:t>
      </w:r>
      <w:r>
        <w:rPr>
          <w:rFonts w:hint="eastAsia" w:ascii="仿宋_GB2312" w:hAnsi="仿宋_GB2312" w:eastAsia="仿宋_GB2312" w:cs="仿宋_GB2312"/>
          <w:spacing w:val="-1"/>
          <w:sz w:val="32"/>
          <w:szCs w:val="32"/>
        </w:rPr>
        <w:t>号</w:t>
      </w:r>
    </w:p>
    <w:p w14:paraId="29182B5D">
      <w:pPr>
        <w:keepNext w:val="0"/>
        <w:keepLines w:val="0"/>
        <w:pageBreakBefore w:val="0"/>
        <w:overflowPunct/>
        <w:topLinePunct w:val="0"/>
        <w:bidi w:val="0"/>
        <w:adjustRightInd w:val="0"/>
        <w:snapToGrid w:val="0"/>
        <w:spacing w:line="520" w:lineRule="exact"/>
        <w:rPr>
          <w:rFonts w:ascii="仿宋_GB2312" w:hAnsi="仿宋_GB2312" w:eastAsia="仿宋_GB2312" w:cs="仿宋_GB2312"/>
          <w:sz w:val="32"/>
          <w:szCs w:val="32"/>
        </w:rPr>
      </w:pPr>
    </w:p>
    <w:p w14:paraId="7ABAF963">
      <w:pPr>
        <w:keepNext w:val="0"/>
        <w:keepLines w:val="0"/>
        <w:pageBreakBefore w:val="0"/>
        <w:widowControl w:val="0"/>
        <w:kinsoku/>
        <w:overflowPunct/>
        <w:topLinePunct w:val="0"/>
        <w:autoSpaceDE/>
        <w:autoSpaceDN/>
        <w:bidi w:val="0"/>
        <w:adjustRightInd/>
        <w:snapToGrid/>
        <w:spacing w:line="576" w:lineRule="exact"/>
        <w:jc w:val="both"/>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当事人：</w:t>
      </w:r>
      <w:r>
        <w:rPr>
          <w:rFonts w:hint="eastAsia" w:ascii="仿宋_GB2312" w:hAnsi="仿宋" w:eastAsia="仿宋_GB2312" w:cs="Times New Roman"/>
          <w:snapToGrid/>
          <w:kern w:val="2"/>
          <w:sz w:val="32"/>
          <w:szCs w:val="32"/>
          <w:lang w:val="en-US" w:eastAsia="zh-CN"/>
        </w:rPr>
        <w:t>江门市铭总再生资源回收有限公司</w:t>
      </w:r>
    </w:p>
    <w:p w14:paraId="37136369">
      <w:pPr>
        <w:keepNext w:val="0"/>
        <w:keepLines w:val="0"/>
        <w:pageBreakBefore w:val="0"/>
        <w:widowControl w:val="0"/>
        <w:kinsoku/>
        <w:overflowPunct/>
        <w:topLinePunct w:val="0"/>
        <w:autoSpaceDE/>
        <w:autoSpaceDN/>
        <w:bidi w:val="0"/>
        <w:adjustRightInd/>
        <w:snapToGrid/>
        <w:spacing w:line="576" w:lineRule="exact"/>
        <w:jc w:val="both"/>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统一社会信用代码：</w:t>
      </w:r>
      <w:r>
        <w:rPr>
          <w:rFonts w:hint="eastAsia" w:ascii="仿宋_GB2312" w:hAnsi="仿宋" w:eastAsia="仿宋_GB2312" w:cs="Times New Roman"/>
          <w:snapToGrid/>
          <w:kern w:val="2"/>
          <w:sz w:val="32"/>
          <w:szCs w:val="32"/>
          <w:lang w:val="en-US" w:eastAsia="zh-CN"/>
        </w:rPr>
        <w:t>91440703MAEKDR0Y3T</w:t>
      </w:r>
    </w:p>
    <w:p w14:paraId="1A2A42DA">
      <w:pPr>
        <w:keepNext w:val="0"/>
        <w:keepLines w:val="0"/>
        <w:pageBreakBefore w:val="0"/>
        <w:widowControl w:val="0"/>
        <w:kinsoku/>
        <w:overflowPunct/>
        <w:topLinePunct w:val="0"/>
        <w:autoSpaceDE/>
        <w:autoSpaceDN/>
        <w:bidi w:val="0"/>
        <w:adjustRightInd/>
        <w:snapToGrid/>
        <w:spacing w:line="576" w:lineRule="exact"/>
        <w:jc w:val="both"/>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法定代表人：</w:t>
      </w:r>
      <w:r>
        <w:rPr>
          <w:rFonts w:hint="eastAsia" w:ascii="仿宋_GB2312" w:hAnsi="仿宋" w:eastAsia="仿宋_GB2312" w:cs="Times New Roman"/>
          <w:snapToGrid/>
          <w:kern w:val="2"/>
          <w:sz w:val="32"/>
          <w:szCs w:val="32"/>
          <w:lang w:val="en-US" w:eastAsia="zh-CN"/>
        </w:rPr>
        <w:t>徐锦铭</w:t>
      </w:r>
    </w:p>
    <w:p w14:paraId="6C5DDD36">
      <w:pPr>
        <w:keepNext w:val="0"/>
        <w:keepLines w:val="0"/>
        <w:pageBreakBefore w:val="0"/>
        <w:widowControl w:val="0"/>
        <w:kinsoku/>
        <w:overflowPunct/>
        <w:topLinePunct w:val="0"/>
        <w:autoSpaceDE/>
        <w:autoSpaceDN/>
        <w:bidi w:val="0"/>
        <w:adjustRightInd/>
        <w:snapToGrid/>
        <w:spacing w:line="576" w:lineRule="exact"/>
        <w:jc w:val="both"/>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lang w:eastAsia="zh-CN"/>
        </w:rPr>
        <w:t>登记</w:t>
      </w:r>
      <w:r>
        <w:rPr>
          <w:rFonts w:hint="eastAsia" w:ascii="仿宋_GB2312" w:hAnsi="仿宋" w:eastAsia="仿宋_GB2312" w:cs="Times New Roman"/>
          <w:snapToGrid/>
          <w:kern w:val="2"/>
          <w:sz w:val="32"/>
          <w:szCs w:val="32"/>
        </w:rPr>
        <w:t>地址：江门市蓬江区潮连街道卢边社区环岛东路168号西江产业园1栋102单元</w:t>
      </w:r>
    </w:p>
    <w:p w14:paraId="16911DE0">
      <w:pPr>
        <w:keepNext w:val="0"/>
        <w:keepLines w:val="0"/>
        <w:pageBreakBefore w:val="0"/>
        <w:widowControl w:val="0"/>
        <w:kinsoku/>
        <w:overflowPunct/>
        <w:topLinePunct w:val="0"/>
        <w:autoSpaceDE/>
        <w:autoSpaceDN/>
        <w:bidi w:val="0"/>
        <w:adjustRightInd/>
        <w:snapToGrid/>
        <w:spacing w:line="576" w:lineRule="exact"/>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实际经营地址：江门市蓬江区潮连街道横滩沙路39号</w:t>
      </w:r>
    </w:p>
    <w:p w14:paraId="327D10A3">
      <w:pPr>
        <w:keepNext w:val="0"/>
        <w:keepLines w:val="0"/>
        <w:pageBreakBefore w:val="0"/>
        <w:overflowPunct/>
        <w:topLinePunct w:val="0"/>
        <w:bidi w:val="0"/>
        <w:adjustRightInd w:val="0"/>
        <w:snapToGrid w:val="0"/>
        <w:spacing w:line="520" w:lineRule="exact"/>
        <w:ind w:firstLine="672" w:firstLineChars="200"/>
        <w:rPr>
          <w:rFonts w:ascii="黑体" w:hAnsi="黑体" w:eastAsia="黑体" w:cs="黑体"/>
          <w:spacing w:val="8"/>
          <w:position w:val="4"/>
          <w:sz w:val="32"/>
          <w:szCs w:val="32"/>
        </w:rPr>
      </w:pPr>
    </w:p>
    <w:p w14:paraId="17A27C70">
      <w:pPr>
        <w:keepNext w:val="0"/>
        <w:keepLines w:val="0"/>
        <w:pageBreakBefore w:val="0"/>
        <w:overflowPunct/>
        <w:topLinePunct w:val="0"/>
        <w:bidi w:val="0"/>
        <w:adjustRightInd w:val="0"/>
        <w:snapToGrid w:val="0"/>
        <w:spacing w:line="520" w:lineRule="exact"/>
        <w:ind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2A4B694C">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2026年8月6日，我局执法人员对你单位进行现场检查，发现你单位存在以下环境违法行为：</w:t>
      </w:r>
    </w:p>
    <w:p w14:paraId="2D44ACC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你单位主要从事机动车报废中介、中转及拆解项目，检查时发现你单位经营场所内堆放有21个机动车尾气净化废催化装置（总重量为91.65Kg）和6个废铅蓄电池（总重量为89.1Kg）。根据《国家危险废物名录》（2025年版），上述机动车尾气净化废催化装置属于“HW50废催化剂”中的“900-049-50机动车和非道路移动机械尾气净化废催化剂”类别，废铅蓄电池属于“HW31含铅废物”中的“900-052-31废铅蓄电池及废铅蓄电池拆解过程中产生的废铅板、废铅膏和酸液”类别，均属于危险废物，但你单位现场未能提供危险废物管理台账，亦未按照《危险废物管理计划和管理台账制定技术导则》（HJ 1259-2022）“6危险废物管理台账制定要求”的内容对你单位危险废物的产生等情况进行如实记录，调查未发现你单位存在违法所得。</w:t>
      </w:r>
    </w:p>
    <w:p w14:paraId="5CABFAB6">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2026年8月28日，我局执法人员到现场进行复查，你单位已规范建立危险废物管理台账并如实记录，即已主动改正违法行为。</w:t>
      </w:r>
    </w:p>
    <w:p w14:paraId="6B0419FF">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以上事实，有以下主要证据证明：</w:t>
      </w:r>
    </w:p>
    <w:p w14:paraId="5FB122B9">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1.2026年8月6日江门市生态环境局执法人员现场检查所作的《行政检查情况记录表》。</w:t>
      </w:r>
    </w:p>
    <w:p w14:paraId="7EC7BDCF">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2.2026年8月6日、8月28日江门市生态环境局执法人员现场检查所作的《江门市生态环境局调查询问笔录》。</w:t>
      </w:r>
    </w:p>
    <w:p w14:paraId="594CCCB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3.2026年8月6日、8月28日江门市生态环境局执法人员现场检查和调查询问时所拍摄的视频资料和照片资料。</w:t>
      </w:r>
    </w:p>
    <w:p w14:paraId="17955413">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4.2026年8月6日江门市生态环境局执法人员制作的《2026年8月6日经营场所内存放的机动车尾气净化废催化装置及废铅蓄电池称重记录》。</w:t>
      </w:r>
    </w:p>
    <w:p w14:paraId="18F61BD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证据1、2、3、4证明一是你单位主体信息、法定代表人徐锦铭、员工马X祯的身份信息及产生的危险废物种类；二是你单位经营场所内存放的机动车尾气净化废催化装置经称重为91.65Kg及废铅蓄电池经称重为89.1Kg；三是2026年8月6日检查时你单位未对产生的危险废物即机动车尾气净化废催化装置（废物类别：HW50废催化剂）、废铅蓄电池（废物类别：HW31含铅废物）建立危险废物管理台账并按照规范如实记录相关信息；四是2026年8月28日检查时你单位已规范建立危险废物管理台账并如实记录，即你单位已主动改正违法行为；五是经调查你单位未按照国家有关规定建立危险废物管理台账并如实记录的违法行为未发现存在违法所得。</w:t>
      </w:r>
    </w:p>
    <w:p w14:paraId="22A2B1BC">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5.2026年8月6日徐锦铭提供的《授权委托书》一份。</w:t>
      </w:r>
    </w:p>
    <w:p w14:paraId="3DAB336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证据5证明</w:t>
      </w:r>
      <w:r>
        <w:rPr>
          <w:rFonts w:hint="eastAsia" w:ascii="仿宋_GB2312" w:hAnsi="仿宋_GB2312" w:eastAsia="仿宋_GB2312" w:cs="仿宋_GB2312"/>
          <w:sz w:val="32"/>
          <w:szCs w:val="32"/>
          <w:lang w:val="en-US" w:eastAsia="zh-CN"/>
        </w:rPr>
        <w:t>你单位</w:t>
      </w:r>
      <w:r>
        <w:rPr>
          <w:rFonts w:hint="eastAsia" w:ascii="仿宋_GB2312" w:eastAsia="仿宋_GB2312"/>
          <w:sz w:val="32"/>
          <w:szCs w:val="32"/>
          <w:lang w:val="en-US" w:eastAsia="zh-CN"/>
        </w:rPr>
        <w:t>已授权委托马X祯（身份证号码：44XXXXXXXXX21）</w:t>
      </w:r>
      <w:r>
        <w:rPr>
          <w:rFonts w:hint="eastAsia" w:ascii="仿宋_GB2312" w:hAnsi="仿宋_GB2312" w:eastAsia="仿宋_GB2312" w:cs="仿宋_GB2312"/>
          <w:sz w:val="32"/>
          <w:szCs w:val="32"/>
          <w:lang w:val="en-US" w:eastAsia="zh-CN"/>
        </w:rPr>
        <w:t>配合调查、签收法律文书和代为行使或放弃陈述申辩及听证权利等事项</w:t>
      </w:r>
      <w:r>
        <w:rPr>
          <w:rFonts w:hint="eastAsia" w:ascii="仿宋_GB2312" w:eastAsia="仿宋_GB2312"/>
          <w:sz w:val="32"/>
          <w:szCs w:val="32"/>
          <w:lang w:val="en-US" w:eastAsia="zh-CN"/>
        </w:rPr>
        <w:t>。</w:t>
      </w:r>
    </w:p>
    <w:p w14:paraId="6596ABC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6.2026年8月6日江门市生态环境局执法人员调查所</w:t>
      </w:r>
      <w:bookmarkStart w:id="0" w:name="_GoBack"/>
      <w:bookmarkEnd w:id="0"/>
      <w:r>
        <w:rPr>
          <w:rFonts w:hint="eastAsia" w:ascii="仿宋_GB2312" w:eastAsia="仿宋_GB2312"/>
          <w:sz w:val="32"/>
          <w:szCs w:val="32"/>
          <w:lang w:val="en-US" w:eastAsia="zh-CN"/>
        </w:rPr>
        <w:t>作的《江门市生态环境局当事人送达地址确认书》。</w:t>
      </w:r>
    </w:p>
    <w:p w14:paraId="47D39B66">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eastAsia="仿宋_GB2312"/>
          <w:sz w:val="32"/>
          <w:szCs w:val="32"/>
          <w:lang w:val="en-US" w:eastAsia="zh-CN"/>
        </w:rPr>
        <w:t>证据6证明你单位已提供经确认过的送达地址和方式</w:t>
      </w:r>
      <w:r>
        <w:rPr>
          <w:rFonts w:hint="eastAsia" w:ascii="仿宋_GB2312" w:hAnsi="仿宋" w:eastAsia="仿宋_GB2312" w:cs="Times New Roman"/>
          <w:snapToGrid/>
          <w:color w:val="000000"/>
          <w:kern w:val="2"/>
          <w:sz w:val="32"/>
          <w:szCs w:val="32"/>
          <w:lang w:val="en-US" w:eastAsia="zh-CN" w:bidi="ar-SA"/>
        </w:rPr>
        <w:t>。</w:t>
      </w:r>
    </w:p>
    <w:p w14:paraId="058FA8A8">
      <w:pPr>
        <w:keepNext w:val="0"/>
        <w:keepLines w:val="0"/>
        <w:pageBreakBefore w:val="0"/>
        <w:widowControl w:val="0"/>
        <w:kinsoku/>
        <w:overflowPunct/>
        <w:topLinePunct w:val="0"/>
        <w:autoSpaceDE/>
        <w:autoSpaceDN/>
        <w:bidi w:val="0"/>
        <w:adjustRightInd w:val="0"/>
        <w:snapToGrid w:val="0"/>
        <w:spacing w:line="520" w:lineRule="exact"/>
        <w:ind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434A900E">
      <w:pPr>
        <w:keepNext w:val="0"/>
        <w:keepLines w:val="0"/>
        <w:pageBreakBefore w:val="0"/>
        <w:overflowPunct/>
        <w:topLinePunct w:val="0"/>
        <w:bidi w:val="0"/>
        <w:adjustRightInd w:val="0"/>
        <w:snapToGrid w:val="0"/>
        <w:spacing w:line="520" w:lineRule="exact"/>
        <w:ind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你单位的上述行为，违反了《</w:t>
      </w:r>
      <w:r>
        <w:rPr>
          <w:rFonts w:hint="eastAsia" w:ascii="仿宋_GB2312" w:hAnsi="仿宋_GB2312" w:eastAsia="仿宋_GB2312" w:cs="仿宋_GB2312"/>
          <w:sz w:val="32"/>
          <w:szCs w:val="32"/>
          <w:lang w:val="en-US" w:eastAsia="zh-CN"/>
        </w:rPr>
        <w:t>中华人民共和国生态环境法典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第五百三十二条第一款</w:t>
      </w:r>
      <w:r>
        <w:rPr>
          <w:rFonts w:hint="eastAsia" w:ascii="仿宋_GB2312" w:hAnsi="仿宋_GB2312" w:eastAsia="仿宋_GB2312" w:cs="仿宋_GB2312"/>
          <w:sz w:val="32"/>
          <w:szCs w:val="32"/>
          <w:lang w:eastAsia="zh-CN"/>
        </w:rPr>
        <w:t>“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r>
        <w:rPr>
          <w:rFonts w:hint="eastAsia" w:ascii="仿宋_GB2312" w:hAnsi="仿宋_GB2312" w:eastAsia="仿宋_GB2312" w:cs="仿宋_GB2312"/>
          <w:sz w:val="32"/>
          <w:szCs w:val="32"/>
        </w:rPr>
        <w:t>的规定，</w:t>
      </w:r>
      <w:r>
        <w:rPr>
          <w:rFonts w:hint="eastAsia" w:ascii="仿宋_GB2312" w:hAnsi="仿宋_GB2312" w:eastAsia="仿宋_GB2312" w:cs="仿宋_GB2312"/>
          <w:sz w:val="32"/>
          <w:szCs w:val="32"/>
          <w:lang w:eastAsia="zh-CN"/>
        </w:rPr>
        <w:t>依据《中华人民共和国行政处罚法》第二十八条第一款“</w:t>
      </w:r>
      <w:r>
        <w:rPr>
          <w:rFonts w:hint="eastAsia" w:ascii="仿宋_GB2312" w:hAnsi="仿宋_GB2312" w:eastAsia="仿宋_GB2312" w:cs="仿宋_GB2312"/>
          <w:sz w:val="32"/>
          <w:szCs w:val="32"/>
          <w:lang w:val="en-US" w:eastAsia="zh-CN"/>
        </w:rPr>
        <w:t>机关实施行政处罚时，应当责令当事人改正或者限期改正违法行为。</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中华人民共和国生态环境法典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第一千一百七十五条第一款第三项“违反本法规定，有下列情形之一的，由生态环境主管部门责令改正，没收违法所得，并处以罚款；情节严重的，报经有批准权的人民政府批准，责令停业、关闭：（三）未建立危险废物管理台账并如实记录。”</w:t>
      </w:r>
      <w:r>
        <w:rPr>
          <w:rFonts w:hint="eastAsia" w:ascii="仿宋_GB2312" w:hAnsi="仿宋_GB2312" w:eastAsia="仿宋_GB2312" w:cs="仿宋_GB2312"/>
          <w:sz w:val="32"/>
          <w:szCs w:val="32"/>
        </w:rPr>
        <w:t>的规定，</w:t>
      </w:r>
      <w:r>
        <w:rPr>
          <w:rFonts w:hint="eastAsia" w:ascii="仿宋_GB2312" w:hAnsi="仿宋_GB2312" w:eastAsia="仿宋_GB2312" w:cs="仿宋_GB2312"/>
          <w:b/>
          <w:bCs/>
          <w:sz w:val="32"/>
          <w:szCs w:val="32"/>
        </w:rPr>
        <w:t>我局责令</w:t>
      </w:r>
      <w:r>
        <w:rPr>
          <w:rFonts w:hint="eastAsia" w:ascii="仿宋_GB2312" w:hAnsi="仿宋_GB2312" w:eastAsia="仿宋_GB2312" w:cs="仿宋_GB2312"/>
          <w:b/>
          <w:bCs/>
          <w:sz w:val="32"/>
          <w:szCs w:val="32"/>
          <w:lang w:eastAsia="zh-CN"/>
        </w:rPr>
        <w:t>你单位</w:t>
      </w:r>
      <w:r>
        <w:rPr>
          <w:rFonts w:hint="eastAsia" w:ascii="仿宋_GB2312" w:hAnsi="仿宋_GB2312" w:eastAsia="仿宋_GB2312" w:cs="仿宋_GB2312"/>
          <w:b/>
          <w:bCs/>
          <w:sz w:val="32"/>
          <w:szCs w:val="32"/>
        </w:rPr>
        <w:t>自收到</w:t>
      </w:r>
      <w:r>
        <w:rPr>
          <w:rFonts w:hint="eastAsia" w:ascii="仿宋_GB2312" w:hAnsi="仿宋_GB2312" w:eastAsia="仿宋_GB2312" w:cs="仿宋_GB2312"/>
          <w:b/>
          <w:bCs/>
          <w:sz w:val="32"/>
          <w:szCs w:val="32"/>
          <w:lang w:eastAsia="zh-CN"/>
        </w:rPr>
        <w:t>本</w:t>
      </w:r>
      <w:r>
        <w:rPr>
          <w:rFonts w:hint="eastAsia" w:ascii="仿宋_GB2312" w:hAnsi="仿宋_GB2312" w:eastAsia="仿宋_GB2312" w:cs="仿宋_GB2312"/>
          <w:b/>
          <w:bCs/>
          <w:sz w:val="32"/>
          <w:szCs w:val="32"/>
        </w:rPr>
        <w:t>决定书之日起</w:t>
      </w:r>
      <w:r>
        <w:rPr>
          <w:rFonts w:hint="eastAsia" w:ascii="仿宋_GB2312" w:hAnsi="仿宋_GB2312" w:eastAsia="仿宋_GB2312" w:cs="仿宋_GB2312"/>
          <w:b/>
          <w:bCs/>
          <w:sz w:val="32"/>
          <w:szCs w:val="32"/>
          <w:lang w:eastAsia="zh-CN"/>
        </w:rPr>
        <w:t>立即</w:t>
      </w:r>
      <w:r>
        <w:rPr>
          <w:rFonts w:hint="eastAsia" w:ascii="仿宋_GB2312" w:hAnsi="仿宋_GB2312" w:eastAsia="仿宋_GB2312" w:cs="仿宋_GB2312"/>
          <w:b/>
          <w:bCs/>
          <w:sz w:val="32"/>
          <w:szCs w:val="32"/>
        </w:rPr>
        <w:t>按照《危险废物管理计划和管理台账制定技术导则》（HJ 1259-2022）</w:t>
      </w:r>
      <w:r>
        <w:rPr>
          <w:rFonts w:hint="eastAsia" w:ascii="仿宋_GB2312" w:hAnsi="仿宋_GB2312" w:eastAsia="仿宋_GB2312" w:cs="仿宋_GB2312"/>
          <w:b/>
          <w:bCs/>
          <w:sz w:val="32"/>
          <w:szCs w:val="32"/>
          <w:lang w:eastAsia="zh-CN"/>
        </w:rPr>
        <w:t>的</w:t>
      </w:r>
      <w:r>
        <w:rPr>
          <w:rFonts w:hint="eastAsia" w:ascii="仿宋_GB2312" w:hAnsi="仿宋_GB2312" w:eastAsia="仿宋_GB2312" w:cs="仿宋_GB2312"/>
          <w:b/>
          <w:bCs/>
          <w:sz w:val="32"/>
          <w:szCs w:val="32"/>
        </w:rPr>
        <w:t>有关规定</w:t>
      </w:r>
      <w:r>
        <w:rPr>
          <w:rFonts w:hint="eastAsia" w:ascii="仿宋_GB2312" w:hAnsi="仿宋_GB2312" w:eastAsia="仿宋_GB2312" w:cs="仿宋_GB2312"/>
          <w:b/>
          <w:bCs/>
          <w:sz w:val="32"/>
          <w:szCs w:val="32"/>
          <w:lang w:eastAsia="zh-CN"/>
        </w:rPr>
        <w:t>建立并</w:t>
      </w:r>
      <w:r>
        <w:rPr>
          <w:rFonts w:hint="eastAsia" w:ascii="仿宋_GB2312" w:hAnsi="仿宋_GB2312" w:eastAsia="仿宋_GB2312" w:cs="仿宋_GB2312"/>
          <w:b/>
          <w:bCs/>
          <w:sz w:val="32"/>
          <w:szCs w:val="32"/>
        </w:rPr>
        <w:t>如实记录危险废物管理台账。</w:t>
      </w:r>
    </w:p>
    <w:p w14:paraId="2E613CB8">
      <w:pPr>
        <w:keepNext w:val="0"/>
        <w:keepLines w:val="0"/>
        <w:pageBreakBefore w:val="0"/>
        <w:overflowPunct/>
        <w:topLinePunct w:val="0"/>
        <w:bidi w:val="0"/>
        <w:adjustRightInd w:val="0"/>
        <w:snapToGrid w:val="0"/>
        <w:spacing w:line="520" w:lineRule="exact"/>
        <w:ind w:firstLine="643"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我局将对你单位改正违法行为的情况进行监督，如你单位</w:t>
      </w:r>
      <w:r>
        <w:rPr>
          <w:rFonts w:hint="eastAsia" w:ascii="仿宋_GB2312" w:hAnsi="仿宋_GB2312" w:eastAsia="仿宋_GB2312" w:cs="仿宋_GB2312"/>
          <w:b/>
          <w:bCs/>
          <w:sz w:val="32"/>
          <w:szCs w:val="32"/>
          <w:lang w:eastAsia="zh-CN"/>
        </w:rPr>
        <w:t>拒</w:t>
      </w:r>
      <w:r>
        <w:rPr>
          <w:rFonts w:hint="eastAsia" w:ascii="仿宋_GB2312" w:hAnsi="仿宋_GB2312" w:eastAsia="仿宋_GB2312" w:cs="仿宋_GB2312"/>
          <w:b/>
          <w:bCs/>
          <w:sz w:val="32"/>
          <w:szCs w:val="32"/>
        </w:rPr>
        <w:t>不改正上述环境违法行为，我局将依照</w:t>
      </w:r>
      <w:r>
        <w:rPr>
          <w:rFonts w:hint="eastAsia" w:ascii="仿宋_GB2312" w:hAnsi="仿宋_GB2312" w:eastAsia="仿宋_GB2312" w:cs="仿宋_GB2312"/>
          <w:b/>
          <w:bCs/>
          <w:sz w:val="32"/>
          <w:szCs w:val="32"/>
          <w:lang w:eastAsia="zh-CN"/>
        </w:rPr>
        <w:t>《中华人民共和国生态环境法典》第一千一百七十五条第一款第三项</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违反本法规定，有下列情形之一的，由生态环境主管部门责令改正，没收违法所得，并处以罚款；情节严重的，报经有批准权的人民政府批准，责令停业、关闭：（三）未建立危险废物管理台账并如实记录。</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第二款“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r>
        <w:rPr>
          <w:rFonts w:hint="eastAsia" w:ascii="仿宋_GB2312" w:hAnsi="仿宋_GB2312" w:eastAsia="仿宋_GB2312" w:cs="仿宋_GB2312"/>
          <w:b/>
          <w:bCs/>
          <w:sz w:val="32"/>
          <w:szCs w:val="32"/>
        </w:rPr>
        <w:t>的规定，依法对你单位处</w:t>
      </w:r>
      <w:r>
        <w:rPr>
          <w:rFonts w:hint="eastAsia" w:ascii="仿宋_GB2312" w:hAnsi="仿宋_GB2312" w:eastAsia="仿宋_GB2312" w:cs="仿宋_GB2312"/>
          <w:b/>
          <w:bCs/>
          <w:sz w:val="32"/>
          <w:szCs w:val="32"/>
          <w:lang w:val="en-US" w:eastAsia="zh-CN"/>
        </w:rPr>
        <w:t>20</w:t>
      </w:r>
      <w:r>
        <w:rPr>
          <w:rFonts w:hint="eastAsia" w:ascii="仿宋_GB2312" w:hAnsi="仿宋_GB2312" w:eastAsia="仿宋_GB2312" w:cs="仿宋_GB2312"/>
          <w:b/>
          <w:bCs/>
          <w:sz w:val="32"/>
          <w:szCs w:val="32"/>
        </w:rPr>
        <w:t>万元以上</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00万元以下的罚款。</w:t>
      </w:r>
    </w:p>
    <w:p w14:paraId="5047A4CB">
      <w:pPr>
        <w:keepNext w:val="0"/>
        <w:keepLines w:val="0"/>
        <w:pageBreakBefore w:val="0"/>
        <w:widowControl w:val="0"/>
        <w:kinsoku/>
        <w:overflowPunct/>
        <w:topLinePunct w:val="0"/>
        <w:autoSpaceDE/>
        <w:autoSpaceDN/>
        <w:bidi w:val="0"/>
        <w:adjustRightInd w:val="0"/>
        <w:snapToGrid w:val="0"/>
        <w:spacing w:line="520" w:lineRule="exact"/>
        <w:ind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2C039D2B">
      <w:pPr>
        <w:keepNext w:val="0"/>
        <w:keepLines w:val="0"/>
        <w:pageBreakBefore w:val="0"/>
        <w:widowControl w:val="0"/>
        <w:kinsoku/>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5C325519">
      <w:pPr>
        <w:keepNext w:val="0"/>
        <w:keepLines w:val="0"/>
        <w:pageBreakBefore w:val="0"/>
        <w:widowControl w:val="0"/>
        <w:kinsoku/>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p>
    <w:p w14:paraId="4F946240">
      <w:pPr>
        <w:keepNext w:val="0"/>
        <w:keepLines w:val="0"/>
        <w:pageBreakBefore w:val="0"/>
        <w:widowControl w:val="0"/>
        <w:kinsoku/>
        <w:overflowPunct/>
        <w:topLinePunct w:val="0"/>
        <w:autoSpaceDE/>
        <w:autoSpaceDN/>
        <w:bidi w:val="0"/>
        <w:adjustRightInd w:val="0"/>
        <w:snapToGrid w:val="0"/>
        <w:spacing w:line="520" w:lineRule="exact"/>
        <w:ind w:left="1585" w:leftChars="304" w:hanging="947" w:hangingChars="2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0FCFC88E">
      <w:pPr>
        <w:keepNext w:val="0"/>
        <w:keepLines w:val="0"/>
        <w:pageBreakBefore w:val="0"/>
        <w:widowControl w:val="0"/>
        <w:kinsoku/>
        <w:overflowPunct/>
        <w:topLinePunct w:val="0"/>
        <w:autoSpaceDE/>
        <w:autoSpaceDN/>
        <w:bidi w:val="0"/>
        <w:adjustRightInd w:val="0"/>
        <w:snapToGrid w:val="0"/>
        <w:spacing w:line="520" w:lineRule="exact"/>
        <w:ind w:left="1585" w:leftChars="304" w:hanging="947" w:hangingChars="2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eastAsia="zh-CN"/>
        </w:rPr>
        <w:t>李先生</w:t>
      </w:r>
      <w:r>
        <w:rPr>
          <w:rFonts w:hint="eastAsia" w:ascii="仿宋_GB2312" w:hAnsi="仿宋_GB2312" w:eastAsia="仿宋_GB2312" w:cs="仿宋_GB2312"/>
          <w:snapToGrid/>
          <w:kern w:val="2"/>
          <w:sz w:val="32"/>
          <w:szCs w:val="32"/>
        </w:rPr>
        <w:t>，联系电话：0750-3291707。</w:t>
      </w:r>
    </w:p>
    <w:p w14:paraId="2848F645">
      <w:pPr>
        <w:keepNext w:val="0"/>
        <w:keepLines w:val="0"/>
        <w:pageBreakBefore w:val="0"/>
        <w:widowControl w:val="0"/>
        <w:kinsoku/>
        <w:wordWrap w:val="0"/>
        <w:overflowPunct/>
        <w:topLinePunct w:val="0"/>
        <w:autoSpaceDE/>
        <w:autoSpaceDN/>
        <w:bidi w:val="0"/>
        <w:adjustRightInd w:val="0"/>
        <w:snapToGrid w:val="0"/>
        <w:spacing w:line="520" w:lineRule="exact"/>
        <w:jc w:val="right"/>
        <w:textAlignment w:val="auto"/>
        <w:rPr>
          <w:rFonts w:hint="eastAsia" w:ascii="仿宋_GB2312" w:hAnsi="仿宋" w:eastAsia="仿宋_GB2312" w:cs="Times New Roman"/>
          <w:snapToGrid/>
          <w:kern w:val="2"/>
          <w:sz w:val="32"/>
          <w:szCs w:val="32"/>
        </w:rPr>
      </w:pPr>
    </w:p>
    <w:p w14:paraId="382332BB">
      <w:pPr>
        <w:keepNext w:val="0"/>
        <w:keepLines w:val="0"/>
        <w:pageBreakBefore w:val="0"/>
        <w:widowControl w:val="0"/>
        <w:kinsoku/>
        <w:wordWrap/>
        <w:overflowPunct/>
        <w:topLinePunct w:val="0"/>
        <w:autoSpaceDE/>
        <w:autoSpaceDN/>
        <w:bidi w:val="0"/>
        <w:adjustRightInd w:val="0"/>
        <w:snapToGrid w:val="0"/>
        <w:spacing w:line="520" w:lineRule="exact"/>
        <w:jc w:val="right"/>
        <w:textAlignment w:val="auto"/>
        <w:rPr>
          <w:rFonts w:hint="eastAsia" w:ascii="仿宋_GB2312" w:hAnsi="仿宋" w:eastAsia="仿宋_GB2312" w:cs="Times New Roman"/>
          <w:snapToGrid/>
          <w:kern w:val="2"/>
          <w:sz w:val="32"/>
          <w:szCs w:val="32"/>
        </w:rPr>
      </w:pPr>
    </w:p>
    <w:p w14:paraId="6F3CDE2A">
      <w:pPr>
        <w:keepNext w:val="0"/>
        <w:keepLines w:val="0"/>
        <w:pageBreakBefore w:val="0"/>
        <w:widowControl w:val="0"/>
        <w:kinsoku/>
        <w:wordWrap w:val="0"/>
        <w:overflowPunct/>
        <w:topLinePunct w:val="0"/>
        <w:autoSpaceDE/>
        <w:autoSpaceDN/>
        <w:bidi w:val="0"/>
        <w:adjustRightInd w:val="0"/>
        <w:snapToGrid w:val="0"/>
        <w:spacing w:line="520" w:lineRule="exact"/>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0441962C">
      <w:pPr>
        <w:keepNext w:val="0"/>
        <w:keepLines w:val="0"/>
        <w:pageBreakBefore w:val="0"/>
        <w:widowControl w:val="0"/>
        <w:kinsoku/>
        <w:wordWrap w:val="0"/>
        <w:overflowPunct/>
        <w:topLinePunct w:val="0"/>
        <w:autoSpaceDE/>
        <w:autoSpaceDN/>
        <w:bidi w:val="0"/>
        <w:adjustRightInd w:val="0"/>
        <w:snapToGrid w:val="0"/>
        <w:spacing w:line="520" w:lineRule="exact"/>
        <w:jc w:val="center"/>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lang w:val="en-US" w:eastAsia="zh-CN"/>
        </w:rPr>
        <w:t xml:space="preserve">                             </w:t>
      </w: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4</w:t>
      </w:r>
      <w:r>
        <w:rPr>
          <w:rFonts w:hint="eastAsia" w:ascii="仿宋_GB2312" w:hAnsi="仿宋" w:eastAsia="仿宋_GB2312" w:cs="Times New Roman"/>
          <w:snapToGrid/>
          <w:kern w:val="2"/>
          <w:sz w:val="32"/>
          <w:szCs w:val="32"/>
        </w:rPr>
        <w:t xml:space="preserve">日 </w:t>
      </w:r>
    </w:p>
    <w:p w14:paraId="48B3AB58">
      <w:pPr>
        <w:keepNext w:val="0"/>
        <w:keepLines w:val="0"/>
        <w:pageBreakBefore w:val="0"/>
        <w:widowControl w:val="0"/>
        <w:kinsoku/>
        <w:wordWrap w:val="0"/>
        <w:overflowPunct/>
        <w:topLinePunct w:val="0"/>
        <w:autoSpaceDE/>
        <w:autoSpaceDN/>
        <w:bidi w:val="0"/>
        <w:adjustRightInd w:val="0"/>
        <w:snapToGrid w:val="0"/>
        <w:spacing w:line="520" w:lineRule="exact"/>
        <w:jc w:val="right"/>
        <w:textAlignment w:val="auto"/>
        <w:rPr>
          <w:rFonts w:hint="eastAsia" w:ascii="仿宋_GB2312" w:hAnsi="仿宋" w:eastAsia="仿宋_GB2312" w:cs="Times New Roman"/>
          <w:snapToGrid/>
          <w:kern w:val="2"/>
          <w:sz w:val="32"/>
          <w:szCs w:val="32"/>
        </w:rPr>
      </w:pPr>
    </w:p>
    <w:p w14:paraId="3FFCBACE">
      <w:pPr>
        <w:spacing w:line="20" w:lineRule="exact"/>
      </w:pPr>
    </w:p>
    <w:p w14:paraId="47339332">
      <w:pPr>
        <w:spacing w:line="20" w:lineRule="exact"/>
      </w:pPr>
    </w:p>
    <w:p w14:paraId="40EADE2A">
      <w:pPr>
        <w:spacing w:line="20" w:lineRule="exact"/>
      </w:pPr>
    </w:p>
    <w:p w14:paraId="1B3104E0">
      <w:pPr>
        <w:spacing w:line="20" w:lineRule="exact"/>
      </w:pPr>
    </w:p>
    <w:tbl>
      <w:tblPr>
        <w:tblStyle w:val="4"/>
        <w:tblpPr w:leftFromText="180" w:rightFromText="180" w:vertAnchor="text" w:horzAnchor="page" w:tblpX="1544" w:tblpY="379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588AD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575D4CC8">
            <w:pPr>
              <w:keepNext w:val="0"/>
              <w:keepLines w:val="0"/>
              <w:pageBreakBefore w:val="0"/>
              <w:overflowPunct/>
              <w:topLinePunct w:val="0"/>
              <w:bidi w:val="0"/>
              <w:spacing w:line="480" w:lineRule="exact"/>
              <w:ind w:left="960"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潮连街道办事处</w:t>
            </w:r>
          </w:p>
        </w:tc>
      </w:tr>
    </w:tbl>
    <w:p w14:paraId="03388511">
      <w:pPr>
        <w:spacing w:line="20" w:lineRule="exact"/>
      </w:pPr>
    </w:p>
    <w:sectPr>
      <w:footerReference r:id="rId3" w:type="default"/>
      <w:pgSz w:w="11906" w:h="16838"/>
      <w:pgMar w:top="2098" w:right="1587"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17DC">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F697C">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4D5F697C">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16785E"/>
    <w:rsid w:val="00197E1D"/>
    <w:rsid w:val="00BE19AB"/>
    <w:rsid w:val="02990117"/>
    <w:rsid w:val="046441B2"/>
    <w:rsid w:val="07284F03"/>
    <w:rsid w:val="08B9254E"/>
    <w:rsid w:val="09E153CF"/>
    <w:rsid w:val="0A8850B7"/>
    <w:rsid w:val="0C770293"/>
    <w:rsid w:val="0F450E31"/>
    <w:rsid w:val="0FC84B7C"/>
    <w:rsid w:val="139171F2"/>
    <w:rsid w:val="16CC71CB"/>
    <w:rsid w:val="195C0081"/>
    <w:rsid w:val="19A004B5"/>
    <w:rsid w:val="1A0750CB"/>
    <w:rsid w:val="1C174DF4"/>
    <w:rsid w:val="1D413EF5"/>
    <w:rsid w:val="1ED876CB"/>
    <w:rsid w:val="1F635C48"/>
    <w:rsid w:val="22E05EA5"/>
    <w:rsid w:val="24451297"/>
    <w:rsid w:val="248E3515"/>
    <w:rsid w:val="252B3F15"/>
    <w:rsid w:val="257B169F"/>
    <w:rsid w:val="2624159B"/>
    <w:rsid w:val="26E760A0"/>
    <w:rsid w:val="2B0664C6"/>
    <w:rsid w:val="2CA925C6"/>
    <w:rsid w:val="2E43075E"/>
    <w:rsid w:val="2E5A20EC"/>
    <w:rsid w:val="2EC851B9"/>
    <w:rsid w:val="325565D9"/>
    <w:rsid w:val="33C111F0"/>
    <w:rsid w:val="34720702"/>
    <w:rsid w:val="371A0E96"/>
    <w:rsid w:val="37B67B3F"/>
    <w:rsid w:val="386B0EA1"/>
    <w:rsid w:val="406940E1"/>
    <w:rsid w:val="406F7597"/>
    <w:rsid w:val="44324EDB"/>
    <w:rsid w:val="475A6BFF"/>
    <w:rsid w:val="49443988"/>
    <w:rsid w:val="4BD91B58"/>
    <w:rsid w:val="4DA427CD"/>
    <w:rsid w:val="4FE12D15"/>
    <w:rsid w:val="503C4D46"/>
    <w:rsid w:val="504C20D5"/>
    <w:rsid w:val="521E7FBD"/>
    <w:rsid w:val="541F3870"/>
    <w:rsid w:val="570B5A17"/>
    <w:rsid w:val="583919BB"/>
    <w:rsid w:val="5A106171"/>
    <w:rsid w:val="5A6C5E26"/>
    <w:rsid w:val="5C991464"/>
    <w:rsid w:val="5D327901"/>
    <w:rsid w:val="645D370F"/>
    <w:rsid w:val="65C61F1C"/>
    <w:rsid w:val="68E67400"/>
    <w:rsid w:val="6A846A1B"/>
    <w:rsid w:val="6CA81C85"/>
    <w:rsid w:val="729279F7"/>
    <w:rsid w:val="743A2544"/>
    <w:rsid w:val="76031B73"/>
    <w:rsid w:val="78066239"/>
    <w:rsid w:val="79E17541"/>
    <w:rsid w:val="7E1D5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2224</Words>
  <Characters>2409</Characters>
  <Lines>6</Lines>
  <Paragraphs>1</Paragraphs>
  <TotalTime>2</TotalTime>
  <ScaleCrop>false</ScaleCrop>
  <LinksUpToDate>false</LinksUpToDate>
  <CharactersWithSpaces>2446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2024-03-15T01:44:00Z</cp:lastPrinted>
  <dcterms:modified xsi:type="dcterms:W3CDTF">2026-09-07T01:50:52Z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FDA9FF1EB42A42CF8974B3E474911862_11</vt:lpwstr>
  </property>
  <property fmtid="{D5CDD505-2E9C-101B-9397-08002B2CF9AE}" pid="4" name="KSOTemplateDocerSaveRecord">
    <vt:lpwstr>eyJoZGlkIjoiNDI2NTAyOGM4YjZjZmI2YTIzYjdhOGUzODRiNzI3OGQiLCJ1c2VySWQiOiI0MDk5NTExMDEifQ==</vt:lpwstr>
  </property>
</Properties>
</file>