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24"/>
        <w:ind w:left="297"/>
        <w:jc w:val="center"/>
        <w:rPr>
          <w:b/>
          <w:sz w:val="52"/>
          <w:szCs w:val="52"/>
          <w:highlight w:val="none"/>
        </w:rPr>
      </w:pPr>
    </w:p>
    <w:p>
      <w:pPr>
        <w:spacing w:before="524"/>
        <w:ind w:left="297"/>
        <w:jc w:val="center"/>
        <w:rPr>
          <w:rFonts w:hint="eastAsia" w:eastAsia="宋体"/>
          <w:b/>
          <w:sz w:val="52"/>
          <w:szCs w:val="52"/>
          <w:highlight w:val="none"/>
          <w:lang w:eastAsia="zh-CN"/>
        </w:rPr>
      </w:pPr>
      <w:r>
        <w:rPr>
          <w:rFonts w:hint="eastAsia"/>
          <w:b/>
          <w:sz w:val="60"/>
          <w:szCs w:val="60"/>
          <w:highlight w:val="none"/>
          <w:lang w:eastAsia="zh-CN"/>
        </w:rPr>
        <w:t>江门市民主法治公园建设项目</w:t>
      </w:r>
    </w:p>
    <w:p>
      <w:pPr>
        <w:pStyle w:val="24"/>
        <w:ind w:left="0" w:leftChars="0" w:firstLine="0" w:firstLineChars="0"/>
        <w:rPr>
          <w:rFonts w:eastAsia="宋体"/>
          <w:b/>
          <w:sz w:val="52"/>
          <w:szCs w:val="52"/>
          <w:highlight w:val="none"/>
          <w:lang w:eastAsia="zh-CN"/>
        </w:rPr>
      </w:pPr>
    </w:p>
    <w:p>
      <w:pPr>
        <w:pStyle w:val="24"/>
        <w:ind w:firstLine="1068"/>
        <w:rPr>
          <w:rFonts w:eastAsia="宋体"/>
          <w:b/>
          <w:sz w:val="52"/>
          <w:szCs w:val="52"/>
          <w:highlight w:val="none"/>
          <w:lang w:eastAsia="zh-CN"/>
        </w:rPr>
      </w:pPr>
    </w:p>
    <w:p>
      <w:pPr>
        <w:pStyle w:val="24"/>
        <w:ind w:firstLine="504"/>
        <w:rPr>
          <w:highlight w:val="none"/>
          <w:lang w:eastAsia="zh-CN"/>
        </w:rPr>
      </w:pPr>
    </w:p>
    <w:p>
      <w:pPr>
        <w:spacing w:before="524"/>
        <w:ind w:left="297"/>
        <w:jc w:val="center"/>
        <w:rPr>
          <w:highlight w:val="none"/>
        </w:rPr>
      </w:pPr>
      <w:r>
        <w:rPr>
          <w:rFonts w:hint="eastAsia"/>
          <w:b/>
          <w:sz w:val="44"/>
          <w:szCs w:val="44"/>
          <w:highlight w:val="none"/>
          <w:lang w:val="en-US" w:eastAsia="zh-CN"/>
        </w:rPr>
        <w:t>采购</w:t>
      </w:r>
      <w:r>
        <w:rPr>
          <w:rFonts w:hint="eastAsia"/>
          <w:b/>
          <w:sz w:val="44"/>
          <w:szCs w:val="44"/>
          <w:highlight w:val="none"/>
        </w:rPr>
        <w:t>文件</w:t>
      </w:r>
    </w:p>
    <w:p>
      <w:pPr>
        <w:spacing w:before="198"/>
        <w:jc w:val="center"/>
        <w:rPr>
          <w:rFonts w:hint="eastAsia" w:eastAsia="宋体"/>
          <w:b/>
          <w:w w:val="95"/>
          <w:sz w:val="40"/>
          <w:szCs w:val="32"/>
          <w:highlight w:val="none"/>
          <w:lang w:eastAsia="zh-CN"/>
        </w:rPr>
      </w:pPr>
    </w:p>
    <w:p>
      <w:pPr>
        <w:spacing w:before="198"/>
        <w:jc w:val="both"/>
        <w:rPr>
          <w:b/>
          <w:w w:val="95"/>
          <w:sz w:val="40"/>
          <w:szCs w:val="32"/>
          <w:highlight w:val="none"/>
        </w:rPr>
      </w:pPr>
    </w:p>
    <w:p>
      <w:pPr>
        <w:pStyle w:val="24"/>
        <w:ind w:firstLine="790"/>
        <w:rPr>
          <w:rFonts w:ascii="宋体" w:eastAsia="宋体"/>
          <w:b/>
          <w:w w:val="95"/>
          <w:sz w:val="40"/>
          <w:szCs w:val="32"/>
          <w:highlight w:val="none"/>
        </w:rPr>
      </w:pPr>
    </w:p>
    <w:p>
      <w:pPr>
        <w:pStyle w:val="24"/>
        <w:ind w:firstLine="790"/>
        <w:rPr>
          <w:rFonts w:ascii="宋体" w:eastAsia="宋体"/>
          <w:b/>
          <w:w w:val="95"/>
          <w:sz w:val="40"/>
          <w:szCs w:val="32"/>
          <w:highlight w:val="none"/>
        </w:rPr>
      </w:pPr>
    </w:p>
    <w:p>
      <w:pPr>
        <w:pStyle w:val="24"/>
        <w:ind w:firstLine="790"/>
        <w:rPr>
          <w:rFonts w:ascii="宋体" w:eastAsia="宋体"/>
          <w:b/>
          <w:w w:val="95"/>
          <w:sz w:val="40"/>
          <w:szCs w:val="32"/>
          <w:highlight w:val="none"/>
        </w:rPr>
      </w:pPr>
    </w:p>
    <w:p>
      <w:pPr>
        <w:spacing w:before="198"/>
        <w:jc w:val="center"/>
        <w:rPr>
          <w:rFonts w:hint="eastAsia" w:asciiTheme="majorEastAsia" w:hAnsiTheme="majorEastAsia" w:eastAsiaTheme="majorEastAsia" w:cstheme="majorEastAsia"/>
          <w:b/>
          <w:sz w:val="30"/>
          <w:szCs w:val="30"/>
          <w:highlight w:val="none"/>
        </w:rPr>
      </w:pPr>
      <w:r>
        <w:rPr>
          <w:rFonts w:hint="eastAsia" w:asciiTheme="majorEastAsia" w:hAnsiTheme="majorEastAsia" w:eastAsiaTheme="majorEastAsia" w:cstheme="majorEastAsia"/>
          <w:b/>
          <w:w w:val="95"/>
          <w:sz w:val="30"/>
          <w:szCs w:val="30"/>
          <w:highlight w:val="none"/>
        </w:rPr>
        <w:t>采购单位：</w:t>
      </w:r>
      <w:r>
        <w:rPr>
          <w:rFonts w:hint="eastAsia" w:asciiTheme="majorEastAsia" w:hAnsiTheme="majorEastAsia" w:eastAsiaTheme="majorEastAsia" w:cstheme="majorEastAsia"/>
          <w:b/>
          <w:w w:val="95"/>
          <w:sz w:val="30"/>
          <w:szCs w:val="30"/>
          <w:highlight w:val="none"/>
          <w:lang w:eastAsia="zh-CN"/>
        </w:rPr>
        <w:t>江门市蓬江区城市管理和综合执法局</w:t>
      </w:r>
    </w:p>
    <w:p>
      <w:pPr>
        <w:spacing w:before="55" w:line="365" w:lineRule="auto"/>
        <w:jc w:val="center"/>
        <w:rPr>
          <w:rFonts w:hint="eastAsia" w:asciiTheme="majorEastAsia" w:hAnsiTheme="majorEastAsia" w:eastAsiaTheme="majorEastAsia" w:cstheme="majorEastAsia"/>
          <w:b/>
          <w:sz w:val="30"/>
          <w:szCs w:val="30"/>
          <w:highlight w:val="none"/>
          <w:lang w:val="en-US" w:eastAsia="zh-CN"/>
        </w:rPr>
      </w:pPr>
      <w:r>
        <w:rPr>
          <w:rFonts w:hint="eastAsia" w:asciiTheme="majorEastAsia" w:hAnsiTheme="majorEastAsia" w:eastAsiaTheme="majorEastAsia" w:cstheme="majorEastAsia"/>
          <w:b/>
          <w:sz w:val="30"/>
          <w:szCs w:val="30"/>
          <w:highlight w:val="none"/>
          <w:lang w:val="en-US" w:eastAsia="zh-CN"/>
        </w:rPr>
        <w:t>代理机构：广东正源泰工程咨询有限公司</w:t>
      </w:r>
    </w:p>
    <w:p>
      <w:pPr>
        <w:spacing w:before="55" w:line="365" w:lineRule="auto"/>
        <w:jc w:val="center"/>
        <w:rPr>
          <w:rFonts w:hint="eastAsia" w:asciiTheme="majorEastAsia" w:hAnsiTheme="majorEastAsia" w:eastAsiaTheme="majorEastAsia" w:cstheme="majorEastAsia"/>
          <w:b/>
          <w:sz w:val="30"/>
          <w:szCs w:val="30"/>
          <w:highlight w:val="none"/>
          <w:lang w:val="en-US" w:eastAsia="zh-CN"/>
        </w:rPr>
      </w:pPr>
      <w:r>
        <w:rPr>
          <w:rFonts w:hint="eastAsia" w:asciiTheme="majorEastAsia" w:hAnsiTheme="majorEastAsia" w:eastAsiaTheme="majorEastAsia" w:cstheme="majorEastAsia"/>
          <w:b/>
          <w:sz w:val="30"/>
          <w:szCs w:val="30"/>
          <w:highlight w:val="none"/>
          <w:lang w:val="en-US" w:eastAsia="zh-CN"/>
        </w:rPr>
        <w:t>2026年9月</w:t>
      </w:r>
    </w:p>
    <w:p>
      <w:pPr>
        <w:spacing w:before="198"/>
        <w:jc w:val="center"/>
        <w:rPr>
          <w:b/>
          <w:w w:val="95"/>
          <w:sz w:val="30"/>
          <w:szCs w:val="30"/>
          <w:highlight w:val="none"/>
          <w:lang w:eastAsia="zh-CN"/>
        </w:rPr>
        <w:sectPr>
          <w:headerReference r:id="rId3" w:type="default"/>
          <w:footerReference r:id="rId4" w:type="default"/>
          <w:type w:val="continuous"/>
          <w:pgSz w:w="11910" w:h="16850"/>
          <w:pgMar w:top="1440" w:right="1080" w:bottom="1440" w:left="1080" w:header="850" w:footer="906" w:gutter="0"/>
          <w:pgNumType w:start="1"/>
          <w:cols w:space="720" w:num="1"/>
        </w:sectPr>
      </w:pPr>
    </w:p>
    <w:p>
      <w:pPr>
        <w:pStyle w:val="24"/>
        <w:ind w:firstLine="0" w:firstLineChars="0"/>
        <w:rPr>
          <w:rFonts w:ascii="宋体" w:eastAsia="宋体"/>
          <w:highlight w:val="none"/>
        </w:rPr>
      </w:pPr>
    </w:p>
    <w:p>
      <w:pPr>
        <w:pStyle w:val="24"/>
        <w:ind w:firstLine="504"/>
        <w:jc w:val="center"/>
        <w:rPr>
          <w:rFonts w:ascii="宋体" w:eastAsia="宋体"/>
          <w:highlight w:val="none"/>
        </w:rPr>
      </w:pPr>
    </w:p>
    <w:p>
      <w:pPr>
        <w:spacing w:line="480" w:lineRule="auto"/>
        <w:jc w:val="center"/>
        <w:rPr>
          <w:sz w:val="28"/>
          <w:szCs w:val="28"/>
          <w:highlight w:val="none"/>
        </w:rPr>
      </w:pPr>
      <w:r>
        <w:rPr>
          <w:rFonts w:hint="eastAsia"/>
          <w:sz w:val="32"/>
          <w:szCs w:val="32"/>
          <w:highlight w:val="none"/>
        </w:rPr>
        <w:t>目录</w:t>
      </w:r>
    </w:p>
    <w:p>
      <w:pPr>
        <w:pStyle w:val="36"/>
        <w:tabs>
          <w:tab w:val="right" w:leader="dot" w:pos="8310"/>
        </w:tabs>
        <w:spacing w:line="480" w:lineRule="auto"/>
        <w:jc w:val="center"/>
        <w:rPr>
          <w:rFonts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TOC \o "1-1" \h \u </w:instrText>
      </w:r>
      <w:r>
        <w:rPr>
          <w:rFonts w:hint="eastAsia" w:ascii="宋体" w:hAnsi="宋体" w:eastAsia="宋体" w:cs="宋体"/>
          <w:sz w:val="28"/>
          <w:szCs w:val="28"/>
          <w:highlight w:val="none"/>
        </w:rPr>
        <w:fldChar w:fldCharType="separate"/>
      </w:r>
      <w:r>
        <w:rPr>
          <w:highlight w:val="none"/>
        </w:rPr>
        <w:fldChar w:fldCharType="begin"/>
      </w:r>
      <w:r>
        <w:rPr>
          <w:highlight w:val="none"/>
        </w:rPr>
        <w:instrText xml:space="preserve"> HYPERLINK \l "_Toc14865" </w:instrText>
      </w:r>
      <w:r>
        <w:rPr>
          <w:highlight w:val="none"/>
        </w:rPr>
        <w:fldChar w:fldCharType="separate"/>
      </w:r>
      <w:r>
        <w:rPr>
          <w:rFonts w:hint="eastAsia" w:ascii="宋体" w:hAnsi="宋体" w:eastAsia="宋体" w:cs="宋体"/>
          <w:sz w:val="28"/>
          <w:szCs w:val="28"/>
          <w:highlight w:val="none"/>
        </w:rPr>
        <w:t>第一部分 邀请函</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_Toc14865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pStyle w:val="36"/>
        <w:tabs>
          <w:tab w:val="right" w:leader="dot" w:pos="8310"/>
        </w:tabs>
        <w:spacing w:line="480" w:lineRule="auto"/>
        <w:jc w:val="center"/>
        <w:rPr>
          <w:rFonts w:ascii="宋体" w:hAnsi="宋体" w:eastAsia="宋体" w:cs="宋体"/>
          <w:sz w:val="28"/>
          <w:szCs w:val="28"/>
          <w:highlight w:val="none"/>
        </w:rPr>
      </w:pPr>
      <w:r>
        <w:rPr>
          <w:highlight w:val="none"/>
        </w:rPr>
        <w:fldChar w:fldCharType="begin"/>
      </w:r>
      <w:r>
        <w:rPr>
          <w:highlight w:val="none"/>
        </w:rPr>
        <w:instrText xml:space="preserve"> HYPERLINK \l "_Toc1063" </w:instrText>
      </w:r>
      <w:r>
        <w:rPr>
          <w:highlight w:val="none"/>
        </w:rPr>
        <w:fldChar w:fldCharType="separate"/>
      </w:r>
      <w:r>
        <w:rPr>
          <w:rFonts w:hint="eastAsia" w:ascii="宋体" w:hAnsi="宋体" w:eastAsia="宋体" w:cs="宋体"/>
          <w:sz w:val="28"/>
          <w:szCs w:val="28"/>
          <w:highlight w:val="none"/>
        </w:rPr>
        <w:t>第二部分 采购项目内容</w:t>
      </w:r>
      <w:r>
        <w:rPr>
          <w:rFonts w:hint="eastAsia" w:ascii="宋体" w:hAnsi="宋体" w:eastAsia="宋体" w:cs="宋体"/>
          <w:sz w:val="28"/>
          <w:szCs w:val="28"/>
          <w:highlight w:val="none"/>
        </w:rPr>
        <w:tab/>
      </w: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fldChar w:fldCharType="end"/>
      </w:r>
    </w:p>
    <w:p>
      <w:pPr>
        <w:pStyle w:val="36"/>
        <w:tabs>
          <w:tab w:val="right" w:leader="dot" w:pos="8310"/>
        </w:tabs>
        <w:spacing w:line="480" w:lineRule="auto"/>
        <w:jc w:val="center"/>
        <w:rPr>
          <w:rFonts w:ascii="宋体" w:hAnsi="宋体" w:eastAsia="宋体" w:cs="宋体"/>
          <w:sz w:val="28"/>
          <w:szCs w:val="28"/>
          <w:highlight w:val="none"/>
        </w:rPr>
      </w:pPr>
      <w:r>
        <w:rPr>
          <w:highlight w:val="none"/>
        </w:rPr>
        <w:fldChar w:fldCharType="begin"/>
      </w:r>
      <w:r>
        <w:rPr>
          <w:highlight w:val="none"/>
        </w:rPr>
        <w:instrText xml:space="preserve"> HYPERLINK \l "_Toc14677" </w:instrText>
      </w:r>
      <w:r>
        <w:rPr>
          <w:highlight w:val="none"/>
        </w:rPr>
        <w:fldChar w:fldCharType="separate"/>
      </w:r>
      <w:r>
        <w:rPr>
          <w:rFonts w:hint="eastAsia" w:ascii="宋体" w:hAnsi="宋体" w:eastAsia="宋体" w:cs="宋体"/>
          <w:sz w:val="28"/>
          <w:szCs w:val="28"/>
          <w:highlight w:val="none"/>
        </w:rPr>
        <w:t>第三部分 供应商须知</w:t>
      </w:r>
      <w:r>
        <w:rPr>
          <w:rFonts w:hint="eastAsia" w:ascii="宋体" w:hAnsi="宋体" w:eastAsia="宋体" w:cs="宋体"/>
          <w:sz w:val="28"/>
          <w:szCs w:val="28"/>
          <w:highlight w:val="none"/>
        </w:rPr>
        <w:tab/>
      </w:r>
      <w:r>
        <w:rPr>
          <w:rFonts w:hint="eastAsia" w:ascii="宋体" w:hAnsi="宋体" w:eastAsia="宋体" w:cs="宋体"/>
          <w:sz w:val="28"/>
          <w:szCs w:val="28"/>
          <w:highlight w:val="none"/>
          <w:lang w:val="en-US" w:eastAsia="zh-CN"/>
        </w:rPr>
        <w:t>8</w:t>
      </w:r>
      <w:r>
        <w:rPr>
          <w:rFonts w:hint="eastAsia" w:ascii="宋体" w:hAnsi="宋体" w:eastAsia="宋体" w:cs="宋体"/>
          <w:sz w:val="28"/>
          <w:szCs w:val="28"/>
          <w:highlight w:val="none"/>
        </w:rPr>
        <w:fldChar w:fldCharType="end"/>
      </w:r>
    </w:p>
    <w:p>
      <w:pPr>
        <w:pStyle w:val="36"/>
        <w:tabs>
          <w:tab w:val="right" w:leader="dot" w:pos="8310"/>
        </w:tabs>
        <w:spacing w:line="480" w:lineRule="auto"/>
        <w:jc w:val="center"/>
        <w:rPr>
          <w:rFonts w:hint="eastAsia" w:ascii="宋体" w:hAnsi="宋体" w:eastAsia="宋体" w:cs="宋体"/>
          <w:sz w:val="28"/>
          <w:szCs w:val="28"/>
          <w:highlight w:val="none"/>
          <w:lang w:val="en-US" w:eastAsia="zh-CN"/>
        </w:rPr>
      </w:pPr>
      <w:r>
        <w:rPr>
          <w:highlight w:val="none"/>
        </w:rPr>
        <w:fldChar w:fldCharType="begin"/>
      </w:r>
      <w:r>
        <w:rPr>
          <w:highlight w:val="none"/>
        </w:rPr>
        <w:instrText xml:space="preserve"> HYPERLINK \l "_Toc4713" </w:instrText>
      </w:r>
      <w:r>
        <w:rPr>
          <w:highlight w:val="none"/>
        </w:rPr>
        <w:fldChar w:fldCharType="separate"/>
      </w:r>
      <w:r>
        <w:rPr>
          <w:rFonts w:hint="eastAsia" w:ascii="宋体" w:hAnsi="宋体" w:eastAsia="宋体" w:cs="宋体"/>
          <w:sz w:val="28"/>
          <w:szCs w:val="28"/>
          <w:highlight w:val="none"/>
        </w:rPr>
        <w:t>第四部分 合同书格式</w:t>
      </w:r>
      <w:r>
        <w:rPr>
          <w:rFonts w:hint="eastAsia" w:ascii="宋体" w:hAnsi="宋体" w:eastAsia="宋体" w:cs="宋体"/>
          <w:sz w:val="28"/>
          <w:szCs w:val="28"/>
          <w:highlight w:val="none"/>
        </w:rPr>
        <w:tab/>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lang w:val="en-US" w:eastAsia="zh-CN"/>
        </w:rPr>
        <w:t>3</w:t>
      </w:r>
    </w:p>
    <w:p>
      <w:pPr>
        <w:pStyle w:val="36"/>
        <w:tabs>
          <w:tab w:val="right" w:leader="dot" w:pos="8310"/>
        </w:tabs>
        <w:spacing w:line="480" w:lineRule="auto"/>
        <w:jc w:val="center"/>
        <w:rPr>
          <w:rFonts w:hint="eastAsia" w:ascii="宋体" w:hAnsi="宋体" w:eastAsia="宋体" w:cs="宋体"/>
          <w:sz w:val="28"/>
          <w:szCs w:val="28"/>
          <w:highlight w:val="none"/>
          <w:lang w:eastAsia="zh-CN"/>
        </w:rPr>
      </w:pPr>
      <w:r>
        <w:rPr>
          <w:highlight w:val="none"/>
        </w:rPr>
        <w:fldChar w:fldCharType="begin"/>
      </w:r>
      <w:r>
        <w:rPr>
          <w:highlight w:val="none"/>
        </w:rPr>
        <w:instrText xml:space="preserve"> HYPERLINK \l "_Toc4713" </w:instrText>
      </w:r>
      <w:r>
        <w:rPr>
          <w:highlight w:val="none"/>
        </w:rPr>
        <w:fldChar w:fldCharType="separate"/>
      </w:r>
      <w:r>
        <w:rPr>
          <w:rFonts w:hint="eastAsia" w:ascii="宋体" w:hAnsi="宋体" w:eastAsia="宋体" w:cs="宋体"/>
          <w:sz w:val="28"/>
          <w:szCs w:val="28"/>
          <w:highlight w:val="none"/>
        </w:rPr>
        <w:t>第五部分 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t>4</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lang w:val="en-US" w:eastAsia="zh-CN"/>
        </w:rPr>
        <w:t>8</w:t>
      </w:r>
    </w:p>
    <w:p>
      <w:pPr>
        <w:spacing w:before="60"/>
        <w:ind w:left="2880"/>
        <w:jc w:val="center"/>
        <w:rPr>
          <w:b/>
          <w:sz w:val="44"/>
          <w:highlight w:val="none"/>
        </w:rPr>
      </w:pPr>
      <w:r>
        <w:rPr>
          <w:rFonts w:hint="eastAsia"/>
          <w:sz w:val="28"/>
          <w:szCs w:val="28"/>
          <w:highlight w:val="none"/>
        </w:rPr>
        <w:fldChar w:fldCharType="end"/>
      </w:r>
    </w:p>
    <w:p>
      <w:pPr>
        <w:spacing w:before="60"/>
        <w:ind w:left="2880"/>
        <w:rPr>
          <w:b/>
          <w:sz w:val="44"/>
          <w:highlight w:val="none"/>
        </w:rPr>
      </w:pPr>
    </w:p>
    <w:p>
      <w:pPr>
        <w:spacing w:before="60"/>
        <w:ind w:left="2880"/>
        <w:rPr>
          <w:b/>
          <w:w w:val="99"/>
          <w:sz w:val="44"/>
          <w:highlight w:val="none"/>
        </w:rPr>
      </w:pPr>
    </w:p>
    <w:p>
      <w:pPr>
        <w:pStyle w:val="24"/>
        <w:ind w:firstLine="504"/>
        <w:rPr>
          <w:rFonts w:ascii="宋体" w:eastAsia="宋体"/>
          <w:highlight w:val="none"/>
        </w:rPr>
      </w:pPr>
    </w:p>
    <w:p>
      <w:pPr>
        <w:pStyle w:val="11"/>
        <w:spacing w:before="5"/>
        <w:rPr>
          <w:b/>
          <w:sz w:val="53"/>
          <w:highlight w:val="none"/>
        </w:rPr>
      </w:pPr>
    </w:p>
    <w:p>
      <w:pPr>
        <w:spacing w:before="1"/>
        <w:ind w:left="2880"/>
        <w:rPr>
          <w:b/>
          <w:sz w:val="44"/>
          <w:highlight w:val="none"/>
        </w:rPr>
      </w:pPr>
    </w:p>
    <w:p>
      <w:pPr>
        <w:spacing w:before="60"/>
        <w:ind w:left="2880"/>
        <w:rPr>
          <w:b/>
          <w:w w:val="99"/>
          <w:sz w:val="44"/>
          <w:highlight w:val="none"/>
        </w:rPr>
      </w:pPr>
    </w:p>
    <w:p>
      <w:pPr>
        <w:pStyle w:val="24"/>
        <w:ind w:firstLine="901"/>
        <w:rPr>
          <w:rFonts w:ascii="宋体" w:eastAsia="宋体"/>
          <w:b/>
          <w:w w:val="99"/>
          <w:sz w:val="44"/>
          <w:highlight w:val="none"/>
        </w:rPr>
      </w:pPr>
    </w:p>
    <w:p>
      <w:pPr>
        <w:pStyle w:val="24"/>
        <w:ind w:firstLine="901"/>
        <w:rPr>
          <w:rFonts w:ascii="宋体" w:eastAsia="宋体"/>
          <w:b/>
          <w:w w:val="99"/>
          <w:sz w:val="44"/>
          <w:highlight w:val="none"/>
        </w:rPr>
      </w:pPr>
    </w:p>
    <w:p>
      <w:pPr>
        <w:pStyle w:val="24"/>
        <w:ind w:firstLine="901"/>
        <w:rPr>
          <w:rFonts w:ascii="宋体" w:eastAsia="宋体"/>
          <w:b/>
          <w:w w:val="99"/>
          <w:sz w:val="44"/>
          <w:highlight w:val="none"/>
        </w:rPr>
      </w:pPr>
    </w:p>
    <w:p>
      <w:pPr>
        <w:pStyle w:val="24"/>
        <w:ind w:firstLine="901"/>
        <w:rPr>
          <w:rFonts w:ascii="宋体" w:eastAsia="宋体"/>
          <w:b/>
          <w:w w:val="99"/>
          <w:sz w:val="44"/>
          <w:highlight w:val="none"/>
        </w:rPr>
      </w:pPr>
    </w:p>
    <w:p>
      <w:pPr>
        <w:spacing w:before="60"/>
        <w:rPr>
          <w:b/>
          <w:sz w:val="44"/>
          <w:highlight w:val="none"/>
        </w:rPr>
      </w:pPr>
    </w:p>
    <w:p>
      <w:pPr>
        <w:autoSpaceDE/>
        <w:autoSpaceDN/>
        <w:spacing w:line="400" w:lineRule="exact"/>
        <w:jc w:val="center"/>
        <w:rPr>
          <w:b/>
          <w:bCs/>
          <w:sz w:val="32"/>
          <w:szCs w:val="32"/>
          <w:highlight w:val="none"/>
        </w:rPr>
        <w:sectPr>
          <w:footerReference r:id="rId5" w:type="default"/>
          <w:pgSz w:w="11910" w:h="16840"/>
          <w:pgMar w:top="1440" w:right="1080" w:bottom="1440" w:left="1080" w:header="0" w:footer="995" w:gutter="0"/>
          <w:cols w:space="720" w:num="1"/>
        </w:sectPr>
      </w:pPr>
      <w:bookmarkStart w:id="0" w:name="_bookmark0"/>
      <w:bookmarkEnd w:id="0"/>
      <w:bookmarkStart w:id="1" w:name="_Toc14865"/>
      <w:bookmarkStart w:id="2" w:name="_Toc2650"/>
      <w:bookmarkStart w:id="3" w:name="_Toc225_WPSOffice_Level1"/>
    </w:p>
    <w:p>
      <w:pPr>
        <w:autoSpaceDE/>
        <w:autoSpaceDN/>
        <w:spacing w:line="400" w:lineRule="exact"/>
        <w:jc w:val="center"/>
        <w:rPr>
          <w:b/>
          <w:bCs/>
          <w:sz w:val="32"/>
          <w:szCs w:val="32"/>
          <w:highlight w:val="none"/>
        </w:rPr>
      </w:pPr>
      <w:r>
        <w:rPr>
          <w:rFonts w:hint="eastAsia"/>
          <w:b/>
          <w:bCs/>
          <w:sz w:val="32"/>
          <w:szCs w:val="32"/>
          <w:highlight w:val="none"/>
        </w:rPr>
        <w:t>第一部分 邀请函</w:t>
      </w:r>
      <w:bookmarkEnd w:id="1"/>
      <w:bookmarkEnd w:id="2"/>
      <w:bookmarkEnd w:id="3"/>
    </w:p>
    <w:p>
      <w:pPr>
        <w:autoSpaceDE/>
        <w:autoSpaceDN/>
        <w:spacing w:line="400" w:lineRule="exact"/>
        <w:jc w:val="center"/>
        <w:rPr>
          <w:b/>
          <w:bCs/>
          <w:sz w:val="28"/>
          <w:szCs w:val="28"/>
          <w:highlight w:val="none"/>
        </w:rPr>
      </w:pPr>
      <w:bookmarkStart w:id="4" w:name="_Toc2674"/>
      <w:bookmarkStart w:id="5" w:name="_Toc13473"/>
      <w:bookmarkStart w:id="6" w:name="_Toc35393797"/>
      <w:bookmarkStart w:id="7" w:name="_Toc28359011"/>
      <w:r>
        <w:rPr>
          <w:rFonts w:hint="eastAsia"/>
          <w:b/>
          <w:bCs/>
          <w:sz w:val="28"/>
          <w:szCs w:val="28"/>
          <w:highlight w:val="none"/>
          <w:lang w:eastAsia="zh-CN"/>
        </w:rPr>
        <w:t>江门市民主法治公园建设项目</w:t>
      </w:r>
      <w:r>
        <w:rPr>
          <w:rFonts w:hint="eastAsia"/>
          <w:b/>
          <w:bCs/>
          <w:sz w:val="28"/>
          <w:szCs w:val="28"/>
          <w:highlight w:val="none"/>
          <w:lang w:val="en-US" w:eastAsia="zh-CN"/>
        </w:rPr>
        <w:t>采购</w:t>
      </w:r>
      <w:r>
        <w:rPr>
          <w:rFonts w:hint="eastAsia"/>
          <w:b/>
          <w:bCs/>
          <w:sz w:val="28"/>
          <w:szCs w:val="28"/>
          <w:highlight w:val="none"/>
        </w:rPr>
        <w:t>公告</w:t>
      </w:r>
      <w:bookmarkEnd w:id="4"/>
      <w:bookmarkEnd w:id="5"/>
      <w:bookmarkEnd w:id="6"/>
      <w:bookmarkEnd w:id="7"/>
    </w:p>
    <w:p>
      <w:pPr>
        <w:autoSpaceDE/>
        <w:autoSpaceDN/>
        <w:spacing w:line="390" w:lineRule="exact"/>
        <w:ind w:firstLine="480" w:firstLineChars="200"/>
        <w:jc w:val="both"/>
        <w:rPr>
          <w:sz w:val="24"/>
          <w:szCs w:val="24"/>
          <w:highlight w:val="none"/>
        </w:rPr>
      </w:pPr>
      <w:r>
        <w:rPr>
          <w:rFonts w:hint="eastAsia"/>
          <w:sz w:val="24"/>
          <w:szCs w:val="24"/>
          <w:highlight w:val="none"/>
          <w:u w:val="single"/>
        </w:rPr>
        <w:t>广东正源泰工程咨询有限公司</w:t>
      </w:r>
      <w:r>
        <w:rPr>
          <w:rFonts w:hint="eastAsia"/>
          <w:sz w:val="24"/>
          <w:szCs w:val="24"/>
          <w:highlight w:val="none"/>
        </w:rPr>
        <w:t>受</w:t>
      </w:r>
      <w:r>
        <w:rPr>
          <w:rFonts w:hint="eastAsia"/>
          <w:sz w:val="24"/>
          <w:szCs w:val="24"/>
          <w:highlight w:val="none"/>
          <w:u w:val="single"/>
        </w:rPr>
        <w:t>江门市蓬江区城市管理和综合执法局</w:t>
      </w:r>
      <w:r>
        <w:rPr>
          <w:rFonts w:hint="eastAsia"/>
          <w:sz w:val="24"/>
          <w:szCs w:val="24"/>
          <w:highlight w:val="none"/>
        </w:rPr>
        <w:t>委托组织采购</w:t>
      </w:r>
      <w:r>
        <w:rPr>
          <w:rFonts w:hint="eastAsia"/>
          <w:b/>
          <w:bCs/>
          <w:sz w:val="24"/>
          <w:szCs w:val="24"/>
          <w:highlight w:val="none"/>
          <w:u w:val="single"/>
        </w:rPr>
        <w:t>江门市民主法治公园建设项目</w:t>
      </w:r>
      <w:r>
        <w:rPr>
          <w:rFonts w:hint="eastAsia"/>
          <w:sz w:val="24"/>
          <w:szCs w:val="24"/>
          <w:highlight w:val="none"/>
          <w:lang w:eastAsia="zh-CN"/>
        </w:rPr>
        <w:t>，</w:t>
      </w:r>
      <w:r>
        <w:rPr>
          <w:rFonts w:hint="eastAsia"/>
          <w:sz w:val="24"/>
          <w:szCs w:val="24"/>
          <w:highlight w:val="none"/>
        </w:rPr>
        <w:t>欢迎符合资格条件的供应商参加。</w:t>
      </w:r>
    </w:p>
    <w:p>
      <w:pPr>
        <w:autoSpaceDE/>
        <w:autoSpaceDN/>
        <w:spacing w:line="390" w:lineRule="exact"/>
        <w:rPr>
          <w:sz w:val="24"/>
          <w:szCs w:val="24"/>
          <w:highlight w:val="none"/>
        </w:rPr>
      </w:pPr>
      <w:r>
        <w:rPr>
          <w:rFonts w:hint="eastAsia"/>
          <w:sz w:val="24"/>
          <w:szCs w:val="24"/>
          <w:highlight w:val="none"/>
        </w:rPr>
        <w:t>一、项目基本情况</w:t>
      </w:r>
    </w:p>
    <w:p>
      <w:pPr>
        <w:autoSpaceDE/>
        <w:autoSpaceDN/>
        <w:spacing w:line="390" w:lineRule="exact"/>
        <w:ind w:firstLine="480" w:firstLineChars="200"/>
        <w:rPr>
          <w:rFonts w:hint="eastAsia"/>
          <w:sz w:val="24"/>
          <w:szCs w:val="24"/>
          <w:highlight w:val="none"/>
          <w:lang w:eastAsia="zh-CN"/>
        </w:rPr>
      </w:pPr>
      <w:r>
        <w:rPr>
          <w:rFonts w:hint="eastAsia"/>
          <w:sz w:val="24"/>
          <w:szCs w:val="24"/>
          <w:highlight w:val="none"/>
          <w:lang w:eastAsia="zh-CN"/>
        </w:rPr>
        <w:t>本项目为江门市民主法治公园建设项目，位于江门市蓬江区江门大道与双龙大道交叉口东北侧地块，主要内容为实施场地铺装、园林、绿化、安装工程等施工工作（具体详见工程量清单及图纸，在获取采购文件时一并获取）。</w:t>
      </w:r>
    </w:p>
    <w:p>
      <w:pPr>
        <w:autoSpaceDE/>
        <w:autoSpaceDN/>
        <w:spacing w:line="390" w:lineRule="exact"/>
        <w:ind w:firstLine="480" w:firstLineChars="200"/>
        <w:rPr>
          <w:rFonts w:hint="eastAsia" w:eastAsia="宋体"/>
          <w:sz w:val="24"/>
          <w:szCs w:val="24"/>
          <w:highlight w:val="none"/>
          <w:lang w:eastAsia="zh-CN"/>
        </w:rPr>
      </w:pPr>
      <w:r>
        <w:rPr>
          <w:rFonts w:hint="eastAsia"/>
          <w:sz w:val="24"/>
          <w:szCs w:val="24"/>
          <w:highlight w:val="none"/>
        </w:rPr>
        <w:t>项目名称：</w:t>
      </w:r>
      <w:r>
        <w:rPr>
          <w:rFonts w:hint="eastAsia"/>
          <w:sz w:val="24"/>
          <w:szCs w:val="24"/>
          <w:highlight w:val="none"/>
          <w:u w:val="single"/>
          <w:lang w:eastAsia="zh-CN"/>
        </w:rPr>
        <w:t>江门市民主法治公园建设项目</w:t>
      </w:r>
    </w:p>
    <w:p>
      <w:pPr>
        <w:autoSpaceDE/>
        <w:autoSpaceDN/>
        <w:spacing w:line="390" w:lineRule="exact"/>
        <w:ind w:firstLine="480" w:firstLineChars="200"/>
        <w:rPr>
          <w:sz w:val="24"/>
          <w:szCs w:val="24"/>
          <w:highlight w:val="none"/>
        </w:rPr>
      </w:pPr>
      <w:r>
        <w:rPr>
          <w:rFonts w:hint="eastAsia"/>
          <w:sz w:val="24"/>
          <w:szCs w:val="24"/>
          <w:highlight w:val="none"/>
        </w:rPr>
        <w:t>预算金额：</w:t>
      </w:r>
      <w:r>
        <w:rPr>
          <w:rFonts w:hint="eastAsia"/>
          <w:sz w:val="24"/>
          <w:szCs w:val="24"/>
          <w:highlight w:val="none"/>
          <w:u w:val="single"/>
        </w:rPr>
        <w:t>人民币</w:t>
      </w:r>
      <w:r>
        <w:rPr>
          <w:rFonts w:hint="eastAsia"/>
          <w:sz w:val="24"/>
          <w:szCs w:val="24"/>
          <w:highlight w:val="none"/>
          <w:u w:val="single"/>
          <w:lang w:val="en-US" w:eastAsia="zh-CN"/>
        </w:rPr>
        <w:t>561860.26</w:t>
      </w:r>
      <w:r>
        <w:rPr>
          <w:rFonts w:hint="eastAsia"/>
          <w:sz w:val="24"/>
          <w:szCs w:val="24"/>
          <w:highlight w:val="none"/>
          <w:u w:val="single"/>
        </w:rPr>
        <w:t>元</w:t>
      </w:r>
    </w:p>
    <w:p>
      <w:pPr>
        <w:autoSpaceDE/>
        <w:autoSpaceDN/>
        <w:spacing w:line="390" w:lineRule="exact"/>
        <w:ind w:firstLine="480" w:firstLineChars="200"/>
        <w:rPr>
          <w:sz w:val="24"/>
          <w:szCs w:val="24"/>
          <w:highlight w:val="none"/>
        </w:rPr>
      </w:pPr>
      <w:r>
        <w:rPr>
          <w:rFonts w:hint="eastAsia"/>
          <w:sz w:val="24"/>
          <w:szCs w:val="24"/>
          <w:highlight w:val="none"/>
        </w:rPr>
        <w:t>最高限价：</w:t>
      </w:r>
      <w:r>
        <w:rPr>
          <w:rFonts w:hint="eastAsia"/>
          <w:sz w:val="24"/>
          <w:szCs w:val="24"/>
          <w:highlight w:val="none"/>
          <w:u w:val="single"/>
        </w:rPr>
        <w:t>人民币</w:t>
      </w:r>
      <w:r>
        <w:rPr>
          <w:rFonts w:hint="eastAsia"/>
          <w:sz w:val="24"/>
          <w:szCs w:val="24"/>
          <w:highlight w:val="none"/>
          <w:u w:val="single"/>
          <w:lang w:val="en-US" w:eastAsia="zh-CN"/>
        </w:rPr>
        <w:t>561860.26</w:t>
      </w:r>
      <w:r>
        <w:rPr>
          <w:rFonts w:hint="eastAsia"/>
          <w:sz w:val="24"/>
          <w:szCs w:val="24"/>
          <w:highlight w:val="none"/>
          <w:u w:val="single"/>
        </w:rPr>
        <w:t>元</w:t>
      </w:r>
    </w:p>
    <w:p>
      <w:pPr>
        <w:autoSpaceDE/>
        <w:autoSpaceDN/>
        <w:spacing w:line="390" w:lineRule="exact"/>
        <w:ind w:firstLine="480" w:firstLineChars="200"/>
        <w:rPr>
          <w:rFonts w:hint="eastAsia" w:eastAsia="宋体"/>
          <w:sz w:val="24"/>
          <w:szCs w:val="24"/>
          <w:highlight w:val="none"/>
          <w:lang w:eastAsia="zh-CN"/>
        </w:rPr>
      </w:pPr>
      <w:r>
        <w:rPr>
          <w:rFonts w:hint="eastAsia"/>
          <w:sz w:val="24"/>
          <w:szCs w:val="24"/>
          <w:highlight w:val="none"/>
        </w:rPr>
        <w:t>采购需求：</w:t>
      </w:r>
      <w:r>
        <w:rPr>
          <w:rFonts w:hint="eastAsia"/>
          <w:sz w:val="24"/>
          <w:szCs w:val="24"/>
          <w:highlight w:val="none"/>
          <w:lang w:eastAsia="zh-CN"/>
        </w:rPr>
        <w:t>围绕江门市民主法治公园建设，实施场地铺装、园林、绿化、安装工程等施工工作（含工程量清单及图纸）。</w:t>
      </w:r>
    </w:p>
    <w:p>
      <w:pPr>
        <w:autoSpaceDE/>
        <w:autoSpaceDN/>
        <w:spacing w:line="390" w:lineRule="exact"/>
        <w:ind w:firstLine="480" w:firstLineChars="200"/>
        <w:rPr>
          <w:sz w:val="24"/>
          <w:szCs w:val="24"/>
          <w:highlight w:val="none"/>
          <w:lang w:val="en-US" w:eastAsia="zh-CN"/>
        </w:rPr>
      </w:pPr>
      <w:r>
        <w:rPr>
          <w:rFonts w:hint="eastAsia"/>
          <w:sz w:val="24"/>
          <w:szCs w:val="24"/>
          <w:highlight w:val="none"/>
          <w:lang w:eastAsia="zh-CN"/>
        </w:rPr>
        <w:t>工期</w:t>
      </w:r>
      <w:r>
        <w:rPr>
          <w:rFonts w:hint="eastAsia"/>
          <w:sz w:val="24"/>
          <w:szCs w:val="24"/>
          <w:highlight w:val="none"/>
        </w:rPr>
        <w:t>：</w:t>
      </w:r>
      <w:r>
        <w:rPr>
          <w:rFonts w:hint="eastAsia"/>
          <w:sz w:val="24"/>
          <w:szCs w:val="24"/>
          <w:highlight w:val="none"/>
          <w:lang w:val="en-US" w:eastAsia="zh-CN"/>
        </w:rPr>
        <w:t>合同签订生效并接到采购人的书面开工通知书后20个日历天内完成。</w:t>
      </w:r>
    </w:p>
    <w:p>
      <w:pPr>
        <w:autoSpaceDE/>
        <w:autoSpaceDN/>
        <w:spacing w:line="390" w:lineRule="exact"/>
        <w:rPr>
          <w:sz w:val="24"/>
          <w:szCs w:val="24"/>
          <w:highlight w:val="none"/>
        </w:rPr>
      </w:pPr>
      <w:r>
        <w:rPr>
          <w:rFonts w:hint="eastAsia"/>
          <w:sz w:val="24"/>
          <w:szCs w:val="24"/>
          <w:highlight w:val="none"/>
        </w:rPr>
        <w:t>二、申请人的资格要求：</w:t>
      </w:r>
    </w:p>
    <w:p>
      <w:pPr>
        <w:pStyle w:val="11"/>
        <w:kinsoku w:val="0"/>
        <w:overflowPunct w:val="0"/>
        <w:spacing w:before="29" w:line="390" w:lineRule="exact"/>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（1）</w:t>
      </w:r>
      <w:r>
        <w:rPr>
          <w:rFonts w:hint="eastAsia" w:ascii="宋体" w:hAnsi="宋体" w:eastAsia="宋体" w:cs="宋体"/>
          <w:sz w:val="24"/>
          <w:szCs w:val="24"/>
          <w:highlight w:val="none"/>
          <w:lang w:val="en-US" w:eastAsia="zh-CN" w:bidi="ja-JP"/>
        </w:rPr>
        <w:t>投标人应当具备《中华人民共和国政府采购法》第二十二条规定的条件</w:t>
      </w:r>
      <w:r>
        <w:rPr>
          <w:rFonts w:hint="eastAsia" w:cs="宋体"/>
          <w:sz w:val="24"/>
          <w:szCs w:val="24"/>
          <w:highlight w:val="none"/>
          <w:lang w:val="en-US" w:eastAsia="zh-CN" w:bidi="ja-JP"/>
        </w:rPr>
        <w:t>：</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①</w:t>
      </w:r>
      <w:r>
        <w:rPr>
          <w:rFonts w:hint="eastAsia" w:ascii="宋体" w:hAnsi="宋体" w:eastAsia="宋体" w:cs="宋体"/>
          <w:sz w:val="24"/>
          <w:szCs w:val="24"/>
          <w:highlight w:val="none"/>
          <w:lang w:val="en-US" w:eastAsia="zh-CN" w:bidi="ja-JP"/>
        </w:rPr>
        <w:t>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11"/>
        <w:kinsoku w:val="0"/>
        <w:overflowPunct w:val="0"/>
        <w:spacing w:before="29" w:line="390" w:lineRule="exact"/>
        <w:ind w:firstLine="480" w:firstLineChars="200"/>
        <w:jc w:val="both"/>
        <w:rPr>
          <w:rFonts w:hint="default" w:ascii="宋体" w:hAnsi="宋体" w:eastAsia="宋体" w:cs="宋体"/>
          <w:sz w:val="24"/>
          <w:szCs w:val="24"/>
          <w:highlight w:val="none"/>
          <w:lang w:val="en-US" w:eastAsia="zh-CN" w:bidi="ja-JP"/>
        </w:rPr>
      </w:pPr>
      <w:r>
        <w:rPr>
          <w:rFonts w:hint="eastAsia" w:cs="宋体"/>
          <w:sz w:val="24"/>
          <w:szCs w:val="24"/>
          <w:highlight w:val="none"/>
          <w:lang w:val="en-US" w:eastAsia="zh-CN" w:bidi="ja-JP"/>
        </w:rPr>
        <w:t>②</w:t>
      </w:r>
      <w:r>
        <w:rPr>
          <w:rFonts w:hint="eastAsia" w:ascii="宋体" w:hAnsi="宋体" w:eastAsia="宋体" w:cs="宋体"/>
          <w:sz w:val="24"/>
          <w:szCs w:val="24"/>
          <w:highlight w:val="none"/>
          <w:lang w:val="en-US" w:eastAsia="zh-CN" w:bidi="ja-JP"/>
        </w:rPr>
        <w:t>有依法缴纳税收和社会保障资金的良好记录：提供投标截止日前3个月依法缴纳税收和社会保障资金的相关材料。如依法免税或不需要缴纳社会保障资金的，提供相应证明材料。</w:t>
      </w:r>
      <w:r>
        <w:rPr>
          <w:rFonts w:hint="eastAsia" w:cs="宋体"/>
          <w:sz w:val="24"/>
          <w:szCs w:val="24"/>
          <w:highlight w:val="none"/>
          <w:lang w:val="en-US" w:eastAsia="zh-CN" w:bidi="ja-JP"/>
        </w:rPr>
        <w:t xml:space="preserve"> </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③</w:t>
      </w:r>
      <w:r>
        <w:rPr>
          <w:rFonts w:hint="eastAsia" w:ascii="宋体" w:hAnsi="宋体" w:eastAsia="宋体" w:cs="宋体"/>
          <w:sz w:val="24"/>
          <w:szCs w:val="24"/>
          <w:highlight w:val="none"/>
          <w:lang w:val="en-US" w:eastAsia="zh-CN" w:bidi="ja-JP"/>
        </w:rPr>
        <w:t>具有良好的商业信誉和健全的财务会计制度：供应商必须具有良好的商业信誉和健全的财务会计制度（提供2024年度财务状况报告或基本开户行出具的资信证明）。</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④</w:t>
      </w:r>
      <w:r>
        <w:rPr>
          <w:rFonts w:hint="eastAsia" w:ascii="宋体" w:hAnsi="宋体" w:eastAsia="宋体" w:cs="宋体"/>
          <w:sz w:val="24"/>
          <w:szCs w:val="24"/>
          <w:highlight w:val="none"/>
          <w:lang w:val="en-US" w:eastAsia="zh-CN" w:bidi="ja-JP"/>
        </w:rPr>
        <w:t>履行合同所必需的设备和专业技术能力：</w:t>
      </w:r>
      <w:r>
        <w:rPr>
          <w:rFonts w:hint="eastAsia" w:cs="宋体"/>
          <w:sz w:val="24"/>
          <w:szCs w:val="24"/>
          <w:highlight w:val="none"/>
          <w:lang w:val="en-US" w:eastAsia="zh-CN" w:bidi="ja-JP"/>
        </w:rPr>
        <w:t>须在</w:t>
      </w:r>
      <w:r>
        <w:rPr>
          <w:rFonts w:hint="eastAsia" w:ascii="宋体" w:hAnsi="宋体" w:eastAsia="宋体" w:cs="宋体"/>
          <w:sz w:val="24"/>
          <w:szCs w:val="24"/>
          <w:highlight w:val="none"/>
          <w:lang w:val="en-US" w:eastAsia="zh-CN" w:bidi="ja-JP"/>
        </w:rPr>
        <w:t>响应文件</w:t>
      </w:r>
      <w:r>
        <w:rPr>
          <w:rFonts w:hint="eastAsia" w:cs="宋体"/>
          <w:sz w:val="24"/>
          <w:szCs w:val="24"/>
          <w:highlight w:val="none"/>
          <w:lang w:val="en-US" w:eastAsia="zh-CN" w:bidi="ja-JP"/>
        </w:rPr>
        <w:t>中</w:t>
      </w:r>
      <w:r>
        <w:rPr>
          <w:rFonts w:hint="eastAsia" w:ascii="宋体" w:hAnsi="宋体" w:eastAsia="宋体" w:cs="宋体"/>
          <w:sz w:val="24"/>
          <w:szCs w:val="24"/>
          <w:highlight w:val="none"/>
          <w:lang w:val="en-US" w:eastAsia="zh-CN" w:bidi="ja-JP"/>
        </w:rPr>
        <w:t>填报设备及专业技术能力情况。</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⑤</w:t>
      </w:r>
      <w:r>
        <w:rPr>
          <w:rFonts w:hint="eastAsia" w:ascii="宋体" w:hAnsi="宋体" w:eastAsia="宋体" w:cs="宋体"/>
          <w:sz w:val="24"/>
          <w:szCs w:val="24"/>
          <w:highlight w:val="none"/>
          <w:lang w:val="en-US" w:eastAsia="zh-CN" w:bidi="ja-JP"/>
        </w:rPr>
        <w:t>参加采购活动前3年内，在经营活动中没有重大违法记录：</w:t>
      </w:r>
      <w:r>
        <w:rPr>
          <w:rFonts w:hint="eastAsia" w:cs="宋体"/>
          <w:sz w:val="24"/>
          <w:szCs w:val="24"/>
          <w:highlight w:val="none"/>
          <w:lang w:val="en-US" w:eastAsia="zh-CN" w:bidi="ja-JP"/>
        </w:rPr>
        <w:t>编辑</w:t>
      </w:r>
      <w:r>
        <w:rPr>
          <w:rFonts w:hint="eastAsia" w:ascii="宋体" w:hAnsi="宋体" w:eastAsia="宋体" w:cs="宋体"/>
          <w:sz w:val="24"/>
          <w:szCs w:val="24"/>
          <w:highlight w:val="none"/>
          <w:lang w:val="en-US" w:eastAsia="zh-CN" w:bidi="ja-JP"/>
        </w:rPr>
        <w:t>承诺函承诺</w:t>
      </w:r>
      <w:r>
        <w:rPr>
          <w:rFonts w:hint="eastAsia" w:cs="宋体"/>
          <w:sz w:val="24"/>
          <w:szCs w:val="24"/>
          <w:highlight w:val="none"/>
          <w:lang w:val="en-US" w:eastAsia="zh-CN" w:bidi="ja-JP"/>
        </w:rPr>
        <w:t>相关</w:t>
      </w:r>
      <w:r>
        <w:rPr>
          <w:rFonts w:hint="eastAsia" w:ascii="宋体" w:hAnsi="宋体" w:eastAsia="宋体" w:cs="宋体"/>
          <w:sz w:val="24"/>
          <w:szCs w:val="24"/>
          <w:highlight w:val="none"/>
          <w:lang w:val="en-US" w:eastAsia="zh-CN" w:bidi="ja-JP"/>
        </w:rPr>
        <w:t>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11"/>
        <w:kinsoku w:val="0"/>
        <w:overflowPunct w:val="0"/>
        <w:spacing w:before="29" w:line="390" w:lineRule="exact"/>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（2）落实政府采购政策需满足的资格要求：参与的供应商工程的施工单位全部为符合政策要求的中小企业</w:t>
      </w:r>
      <w:r>
        <w:rPr>
          <w:rFonts w:hint="eastAsia" w:ascii="宋体" w:hAnsi="宋体" w:eastAsia="宋体" w:cs="宋体"/>
          <w:sz w:val="24"/>
          <w:szCs w:val="24"/>
          <w:highlight w:val="none"/>
          <w:lang w:val="en-US" w:eastAsia="zh-CN" w:bidi="ja-JP"/>
        </w:rPr>
        <w:t>；</w:t>
      </w:r>
    </w:p>
    <w:p>
      <w:pPr>
        <w:pStyle w:val="11"/>
        <w:kinsoku w:val="0"/>
        <w:overflowPunct w:val="0"/>
        <w:spacing w:before="29" w:line="390" w:lineRule="exact"/>
        <w:jc w:val="both"/>
        <w:rPr>
          <w:rFonts w:hint="eastAsia" w:cs="宋体"/>
          <w:sz w:val="24"/>
          <w:szCs w:val="24"/>
          <w:highlight w:val="none"/>
          <w:lang w:val="en-US" w:eastAsia="zh-CN" w:bidi="ja-JP"/>
        </w:rPr>
      </w:pPr>
      <w:r>
        <w:rPr>
          <w:rFonts w:hint="eastAsia" w:cs="宋体"/>
          <w:sz w:val="24"/>
          <w:szCs w:val="24"/>
          <w:highlight w:val="none"/>
          <w:lang w:val="en-US" w:eastAsia="zh-CN" w:bidi="ja-JP"/>
        </w:rPr>
        <w:t>（3）本项目特定的资格要求：</w:t>
      </w:r>
    </w:p>
    <w:p>
      <w:pPr>
        <w:pStyle w:val="11"/>
        <w:kinsoku w:val="0"/>
        <w:overflowPunct w:val="0"/>
        <w:spacing w:before="29" w:line="390" w:lineRule="exact"/>
        <w:ind w:firstLine="480" w:firstLineChars="200"/>
        <w:jc w:val="both"/>
        <w:rPr>
          <w:rFonts w:hint="eastAsia" w:cs="宋体"/>
          <w:sz w:val="24"/>
          <w:szCs w:val="24"/>
          <w:highlight w:val="none"/>
          <w:lang w:val="en-US" w:eastAsia="zh-CN" w:bidi="ja-JP"/>
        </w:rPr>
      </w:pPr>
      <w:r>
        <w:rPr>
          <w:rFonts w:hint="eastAsia" w:cs="宋体"/>
          <w:sz w:val="24"/>
          <w:szCs w:val="24"/>
          <w:highlight w:val="none"/>
          <w:lang w:val="en-US" w:eastAsia="zh-CN" w:bidi="ja-JP"/>
        </w:rPr>
        <w:t>①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响应截止时间当天在“信用中国”网站（www.creditchina.gov.cn）及中国政府采购网（www.ccgp.gov.cn/）查询结果为准，如相关失信记录已失效，供应商需提供相关证明资料）。</w:t>
      </w:r>
    </w:p>
    <w:p>
      <w:pPr>
        <w:pStyle w:val="11"/>
        <w:kinsoku w:val="0"/>
        <w:overflowPunct w:val="0"/>
        <w:spacing w:before="29" w:line="390" w:lineRule="exact"/>
        <w:ind w:firstLine="480" w:firstLineChars="200"/>
        <w:jc w:val="both"/>
        <w:rPr>
          <w:rFonts w:hint="eastAsia" w:cs="宋体"/>
          <w:sz w:val="24"/>
          <w:szCs w:val="24"/>
          <w:highlight w:val="none"/>
          <w:lang w:val="en-US" w:eastAsia="zh-CN" w:bidi="ja-JP"/>
        </w:rPr>
      </w:pPr>
      <w:r>
        <w:rPr>
          <w:rFonts w:hint="eastAsia" w:cs="宋体"/>
          <w:sz w:val="24"/>
          <w:szCs w:val="24"/>
          <w:highlight w:val="none"/>
          <w:lang w:val="en-US" w:eastAsia="zh-CN" w:bidi="ja-JP"/>
        </w:rPr>
        <w:t>②单位负责人为同一人或者存在直接控股、管理关系的不同供应商，不得同时参加本采购项目响应。为本项目提供整体设计、规范编制或者项目管理、监理、检测等服务的供应商，不得再参与本项目投标（响应）。编辑承诺函承诺相关要求内容。</w:t>
      </w:r>
    </w:p>
    <w:p>
      <w:pPr>
        <w:pStyle w:val="11"/>
        <w:kinsoku w:val="0"/>
        <w:overflowPunct w:val="0"/>
        <w:spacing w:before="29" w:line="390" w:lineRule="exact"/>
        <w:jc w:val="both"/>
        <w:rPr>
          <w:rFonts w:hint="eastAsia" w:cs="宋体"/>
          <w:sz w:val="24"/>
          <w:szCs w:val="24"/>
          <w:highlight w:val="none"/>
          <w:lang w:val="en-US" w:eastAsia="zh-CN" w:bidi="ja-JP"/>
        </w:rPr>
      </w:pPr>
      <w:r>
        <w:rPr>
          <w:rFonts w:hint="eastAsia" w:cs="宋体"/>
          <w:sz w:val="24"/>
          <w:szCs w:val="24"/>
          <w:highlight w:val="none"/>
          <w:lang w:val="en-US" w:eastAsia="zh-CN" w:bidi="ja-JP"/>
        </w:rPr>
        <w:t>（4）拟派项目负责人：须具备园林或林业类工程师职称，并提供该人员2026年5月起任意一个月在投标单位缴纳有效养老社保证明复印件（含分公司或分支机构养老社保缴纳记录）及劳动合同复印件。</w:t>
      </w:r>
    </w:p>
    <w:p>
      <w:pPr>
        <w:pStyle w:val="11"/>
        <w:kinsoku w:val="0"/>
        <w:overflowPunct w:val="0"/>
        <w:spacing w:before="29" w:line="390" w:lineRule="exact"/>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（5）</w:t>
      </w:r>
      <w:r>
        <w:rPr>
          <w:rFonts w:hint="eastAsia" w:ascii="宋体" w:hAnsi="宋体" w:eastAsia="宋体" w:cs="宋体"/>
          <w:sz w:val="24"/>
          <w:szCs w:val="24"/>
          <w:highlight w:val="none"/>
          <w:lang w:val="en-US" w:eastAsia="zh-CN" w:bidi="ja-JP"/>
        </w:rPr>
        <w:t>本项目不接受联合体投标</w:t>
      </w:r>
      <w:r>
        <w:rPr>
          <w:rFonts w:hint="eastAsia" w:cs="宋体"/>
          <w:sz w:val="24"/>
          <w:szCs w:val="24"/>
          <w:highlight w:val="none"/>
          <w:lang w:val="en-US" w:eastAsia="zh-CN" w:bidi="ja-JP"/>
        </w:rPr>
        <w:t>。</w:t>
      </w:r>
    </w:p>
    <w:p>
      <w:pPr>
        <w:autoSpaceDE/>
        <w:autoSpaceDN/>
        <w:spacing w:line="390" w:lineRule="exact"/>
        <w:rPr>
          <w:rFonts w:hint="eastAsia"/>
          <w:sz w:val="24"/>
          <w:szCs w:val="24"/>
          <w:highlight w:val="none"/>
        </w:rPr>
      </w:pPr>
    </w:p>
    <w:p>
      <w:pPr>
        <w:autoSpaceDE/>
        <w:autoSpaceDN/>
        <w:spacing w:line="390" w:lineRule="exact"/>
        <w:rPr>
          <w:sz w:val="24"/>
          <w:szCs w:val="24"/>
          <w:highlight w:val="none"/>
        </w:rPr>
      </w:pPr>
      <w:r>
        <w:rPr>
          <w:rFonts w:hint="eastAsia"/>
          <w:sz w:val="24"/>
          <w:szCs w:val="24"/>
          <w:highlight w:val="none"/>
        </w:rPr>
        <w:t>三、获取</w:t>
      </w:r>
      <w:r>
        <w:rPr>
          <w:rFonts w:hint="eastAsia"/>
          <w:sz w:val="24"/>
          <w:szCs w:val="24"/>
          <w:highlight w:val="none"/>
          <w:lang w:val="en-US" w:eastAsia="zh-CN"/>
        </w:rPr>
        <w:t>采购</w:t>
      </w:r>
      <w:r>
        <w:rPr>
          <w:rFonts w:hint="eastAsia"/>
          <w:sz w:val="24"/>
          <w:szCs w:val="24"/>
          <w:highlight w:val="none"/>
          <w:lang w:eastAsia="zh-CN"/>
        </w:rPr>
        <w:t>文件</w:t>
      </w:r>
      <w:r>
        <w:rPr>
          <w:rFonts w:hint="eastAsia"/>
          <w:sz w:val="24"/>
          <w:szCs w:val="24"/>
          <w:highlight w:val="none"/>
        </w:rPr>
        <w:t>方式及时间：</w:t>
      </w:r>
    </w:p>
    <w:p>
      <w:pPr>
        <w:keepNext w:val="0"/>
        <w:keepLines w:val="0"/>
        <w:pageBreakBefore w:val="0"/>
        <w:widowControl w:val="0"/>
        <w:kinsoku/>
        <w:wordWrap/>
        <w:overflowPunct/>
        <w:topLinePunct w:val="0"/>
        <w:autoSpaceDE/>
        <w:autoSpaceDN/>
        <w:bidi w:val="0"/>
        <w:adjustRightInd/>
        <w:snapToGrid/>
        <w:spacing w:line="360" w:lineRule="auto"/>
        <w:ind w:right="28" w:rightChars="13"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获取时间：202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rPr>
        <w:t>日</w:t>
      </w:r>
      <w:r>
        <w:rPr>
          <w:rFonts w:hint="eastAsia" w:cs="宋体"/>
          <w:color w:val="auto"/>
          <w:sz w:val="24"/>
          <w:szCs w:val="24"/>
          <w:highlight w:val="none"/>
          <w:lang w:val="en-US" w:eastAsia="zh-CN"/>
        </w:rPr>
        <w:t>9时</w:t>
      </w:r>
      <w:r>
        <w:rPr>
          <w:rFonts w:hint="eastAsia" w:ascii="宋体" w:hAnsi="宋体" w:eastAsia="宋体" w:cs="宋体"/>
          <w:color w:val="auto"/>
          <w:sz w:val="24"/>
          <w:szCs w:val="24"/>
          <w:highlight w:val="none"/>
        </w:rPr>
        <w:t>至202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rPr>
        <w:t>日</w:t>
      </w:r>
      <w:r>
        <w:rPr>
          <w:rFonts w:hint="eastAsia" w:cs="宋体"/>
          <w:color w:val="auto"/>
          <w:sz w:val="24"/>
          <w:szCs w:val="24"/>
          <w:highlight w:val="none"/>
          <w:lang w:val="en-US" w:eastAsia="zh-CN"/>
        </w:rPr>
        <w:t>17时30分（北京时间）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right="28" w:rightChars="13"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获取方式：</w:t>
      </w:r>
      <w:r>
        <w:rPr>
          <w:rFonts w:hint="eastAsia" w:cs="宋体"/>
          <w:color w:val="auto"/>
          <w:sz w:val="24"/>
          <w:szCs w:val="24"/>
          <w:highlight w:val="none"/>
          <w:lang w:val="en-US" w:eastAsia="zh-CN"/>
        </w:rPr>
        <w:t>线上</w:t>
      </w:r>
      <w:r>
        <w:rPr>
          <w:rFonts w:hint="eastAsia" w:ascii="宋体" w:hAnsi="宋体" w:eastAsia="宋体" w:cs="宋体"/>
          <w:color w:val="auto"/>
          <w:sz w:val="24"/>
          <w:szCs w:val="24"/>
          <w:highlight w:val="none"/>
        </w:rPr>
        <w:t>报名</w:t>
      </w:r>
      <w:r>
        <w:rPr>
          <w:rFonts w:hint="eastAsia" w:ascii="宋体" w:hAnsi="宋体" w:eastAsia="宋体" w:cs="宋体"/>
          <w:color w:val="auto"/>
          <w:sz w:val="24"/>
          <w:szCs w:val="24"/>
          <w:highlight w:val="none"/>
          <w:lang w:eastAsia="zh-CN"/>
        </w:rPr>
        <w:t>登记</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right="28" w:rightChars="13"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文件时需</w:t>
      </w:r>
      <w:r>
        <w:rPr>
          <w:rFonts w:hint="eastAsia" w:ascii="宋体" w:hAnsi="宋体" w:eastAsia="宋体" w:cs="宋体"/>
          <w:color w:val="auto"/>
          <w:sz w:val="24"/>
          <w:szCs w:val="24"/>
          <w:highlight w:val="none"/>
          <w:lang w:eastAsia="zh-CN"/>
        </w:rPr>
        <w:t>提供</w:t>
      </w:r>
      <w:r>
        <w:rPr>
          <w:rFonts w:hint="eastAsia" w:cs="宋体"/>
          <w:color w:val="auto"/>
          <w:sz w:val="24"/>
          <w:szCs w:val="24"/>
          <w:highlight w:val="none"/>
          <w:lang w:val="en-US" w:eastAsia="zh-CN"/>
        </w:rPr>
        <w:t>盖单位公章</w:t>
      </w:r>
      <w:r>
        <w:rPr>
          <w:rFonts w:hint="eastAsia" w:ascii="宋体" w:hAnsi="宋体" w:eastAsia="宋体" w:cs="宋体"/>
          <w:color w:val="auto"/>
          <w:sz w:val="24"/>
          <w:szCs w:val="24"/>
          <w:highlight w:val="none"/>
          <w:lang w:eastAsia="zh-CN"/>
        </w:rPr>
        <w:t>的报名资料</w:t>
      </w:r>
      <w:r>
        <w:rPr>
          <w:rFonts w:hint="eastAsia" w:ascii="宋体" w:hAnsi="宋体" w:eastAsia="宋体" w:cs="宋体"/>
          <w:color w:val="auto"/>
          <w:sz w:val="24"/>
          <w:szCs w:val="24"/>
          <w:highlight w:val="none"/>
        </w:rPr>
        <w:t>：</w:t>
      </w:r>
    </w:p>
    <w:p>
      <w:pPr>
        <w:widowControl/>
        <w:spacing w:line="360" w:lineRule="auto"/>
        <w:ind w:firstLine="480" w:firstLineChars="200"/>
        <w:jc w:val="left"/>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①营业执照</w:t>
      </w:r>
      <w:r>
        <w:rPr>
          <w:rFonts w:hint="eastAsia" w:cs="宋体"/>
          <w:bCs/>
          <w:color w:val="auto"/>
          <w:kern w:val="0"/>
          <w:sz w:val="24"/>
          <w:szCs w:val="24"/>
          <w:lang w:val="en-US" w:eastAsia="zh-CN"/>
        </w:rPr>
        <w:t>扫描件</w:t>
      </w:r>
      <w:r>
        <w:rPr>
          <w:rFonts w:hint="eastAsia" w:ascii="宋体" w:hAnsi="宋体" w:eastAsia="宋体" w:cs="宋体"/>
          <w:bCs/>
          <w:color w:val="auto"/>
          <w:kern w:val="0"/>
          <w:sz w:val="24"/>
          <w:szCs w:val="24"/>
          <w:lang w:val="en-US" w:eastAsia="zh-CN"/>
        </w:rPr>
        <w:t>，分支机构投标的，须提供总公司和分公司营业执照副本复印件，总公司出具给分支机构的授权书；②法定代表人证明书和法定代表人授权委托书</w:t>
      </w:r>
      <w:r>
        <w:rPr>
          <w:rFonts w:hint="eastAsia" w:cs="宋体"/>
          <w:bCs/>
          <w:color w:val="auto"/>
          <w:kern w:val="0"/>
          <w:sz w:val="24"/>
          <w:szCs w:val="24"/>
          <w:lang w:val="en-US" w:eastAsia="zh-CN"/>
        </w:rPr>
        <w:t>扫描件</w:t>
      </w:r>
      <w:r>
        <w:rPr>
          <w:rFonts w:hint="eastAsia" w:ascii="宋体" w:hAnsi="宋体" w:eastAsia="宋体" w:cs="宋体"/>
          <w:bCs/>
          <w:color w:val="auto"/>
          <w:kern w:val="0"/>
          <w:sz w:val="24"/>
          <w:szCs w:val="24"/>
          <w:lang w:val="en-US" w:eastAsia="zh-CN"/>
        </w:rPr>
        <w:t>（附法定代表人及被授权人身份证复印件，法定代表人亲自报名的，无需提供授权委托书）</w:t>
      </w:r>
      <w:r>
        <w:rPr>
          <w:rFonts w:hint="eastAsia" w:cs="宋体"/>
          <w:bCs/>
          <w:color w:val="auto"/>
          <w:kern w:val="0"/>
          <w:sz w:val="24"/>
          <w:szCs w:val="24"/>
          <w:lang w:val="en-US" w:eastAsia="zh-CN"/>
        </w:rPr>
        <w:t>，请在该材料中备注</w:t>
      </w:r>
      <w:r>
        <w:rPr>
          <w:rFonts w:hint="eastAsia" w:cs="宋体"/>
          <w:b/>
          <w:bCs w:val="0"/>
          <w:color w:val="auto"/>
          <w:kern w:val="0"/>
          <w:sz w:val="24"/>
          <w:szCs w:val="24"/>
          <w:lang w:val="en-US" w:eastAsia="zh-CN"/>
        </w:rPr>
        <w:t>联系人及联系方式</w:t>
      </w:r>
      <w:r>
        <w:rPr>
          <w:rFonts w:hint="eastAsia" w:ascii="宋体" w:hAnsi="宋体" w:eastAsia="宋体" w:cs="宋体"/>
          <w:bCs/>
          <w:color w:val="auto"/>
          <w:kern w:val="0"/>
          <w:sz w:val="24"/>
          <w:szCs w:val="24"/>
          <w:lang w:val="en-US" w:eastAsia="zh-CN"/>
        </w:rPr>
        <w:t>。</w:t>
      </w:r>
    </w:p>
    <w:p>
      <w:pPr>
        <w:pStyle w:val="11"/>
        <w:kinsoku w:val="0"/>
        <w:overflowPunct w:val="0"/>
        <w:spacing w:before="29" w:line="390" w:lineRule="exact"/>
        <w:ind w:firstLine="480" w:firstLineChars="200"/>
        <w:jc w:val="both"/>
        <w:rPr>
          <w:rFonts w:hint="default" w:ascii="宋体" w:hAnsi="宋体" w:eastAsia="宋体" w:cs="宋体"/>
          <w:sz w:val="24"/>
          <w:szCs w:val="24"/>
          <w:highlight w:val="yellow"/>
          <w:lang w:val="en-US" w:eastAsia="zh-CN" w:bidi="ja-JP"/>
        </w:rPr>
      </w:pPr>
      <w:r>
        <w:rPr>
          <w:rFonts w:hint="eastAsia" w:ascii="宋体" w:hAnsi="宋体" w:eastAsia="宋体" w:cs="宋体"/>
          <w:bCs/>
          <w:color w:val="auto"/>
          <w:kern w:val="0"/>
          <w:sz w:val="24"/>
          <w:szCs w:val="24"/>
          <w:lang w:val="en-US" w:eastAsia="zh-CN"/>
        </w:rPr>
        <w:t>供应商</w:t>
      </w:r>
      <w:r>
        <w:rPr>
          <w:rFonts w:hint="eastAsia" w:cs="宋体"/>
          <w:bCs/>
          <w:color w:val="auto"/>
          <w:kern w:val="0"/>
          <w:sz w:val="24"/>
          <w:szCs w:val="24"/>
          <w:lang w:val="en-US" w:eastAsia="zh-CN"/>
        </w:rPr>
        <w:t>须将</w:t>
      </w:r>
      <w:r>
        <w:rPr>
          <w:rFonts w:hint="eastAsia" w:ascii="宋体" w:hAnsi="宋体" w:eastAsia="宋体" w:cs="宋体"/>
          <w:bCs/>
          <w:color w:val="auto"/>
          <w:kern w:val="0"/>
          <w:sz w:val="24"/>
          <w:szCs w:val="24"/>
          <w:lang w:val="en-US" w:eastAsia="zh-CN"/>
        </w:rPr>
        <w:t>报名资料，在获取时间截止前</w:t>
      </w:r>
      <w:r>
        <w:rPr>
          <w:rFonts w:hint="eastAsia" w:cs="宋体"/>
          <w:bCs/>
          <w:color w:val="auto"/>
          <w:kern w:val="0"/>
          <w:sz w:val="24"/>
          <w:szCs w:val="24"/>
          <w:lang w:val="en-US" w:eastAsia="zh-CN"/>
        </w:rPr>
        <w:t>将</w:t>
      </w:r>
      <w:r>
        <w:rPr>
          <w:rFonts w:hint="eastAsia" w:ascii="宋体" w:hAnsi="宋体" w:eastAsia="宋体" w:cs="宋体"/>
          <w:bCs/>
          <w:color w:val="auto"/>
          <w:kern w:val="0"/>
          <w:sz w:val="24"/>
          <w:szCs w:val="24"/>
          <w:lang w:val="en-US" w:eastAsia="zh-CN"/>
        </w:rPr>
        <w:t>扫描件发至gdzyt666@163.com邮箱，待核查资料</w:t>
      </w:r>
      <w:r>
        <w:rPr>
          <w:rFonts w:hint="eastAsia" w:cs="宋体"/>
          <w:bCs/>
          <w:color w:val="auto"/>
          <w:kern w:val="0"/>
          <w:sz w:val="24"/>
          <w:szCs w:val="24"/>
          <w:lang w:val="en-US" w:eastAsia="zh-CN"/>
        </w:rPr>
        <w:t>无误</w:t>
      </w:r>
      <w:r>
        <w:rPr>
          <w:rFonts w:hint="eastAsia" w:ascii="宋体" w:hAnsi="宋体" w:eastAsia="宋体" w:cs="宋体"/>
          <w:bCs/>
          <w:color w:val="auto"/>
          <w:kern w:val="0"/>
          <w:sz w:val="24"/>
          <w:szCs w:val="24"/>
          <w:lang w:val="en-US" w:eastAsia="zh-CN"/>
        </w:rPr>
        <w:t>并</w:t>
      </w:r>
      <w:r>
        <w:rPr>
          <w:rFonts w:hint="eastAsia" w:cs="宋体"/>
          <w:bCs/>
          <w:color w:val="auto"/>
          <w:kern w:val="0"/>
          <w:sz w:val="24"/>
          <w:szCs w:val="24"/>
          <w:lang w:val="en-US" w:eastAsia="zh-CN"/>
        </w:rPr>
        <w:t>将采购文件发送至供应商邮箱后</w:t>
      </w:r>
      <w:r>
        <w:rPr>
          <w:rFonts w:hint="eastAsia" w:ascii="宋体" w:hAnsi="宋体" w:eastAsia="宋体" w:cs="宋体"/>
          <w:bCs/>
          <w:color w:val="auto"/>
          <w:kern w:val="0"/>
          <w:sz w:val="24"/>
          <w:szCs w:val="24"/>
          <w:lang w:val="en-US" w:eastAsia="zh-CN"/>
        </w:rPr>
        <w:t>，</w:t>
      </w:r>
      <w:r>
        <w:rPr>
          <w:rFonts w:hint="eastAsia" w:cs="宋体"/>
          <w:bCs/>
          <w:color w:val="auto"/>
          <w:kern w:val="0"/>
          <w:sz w:val="24"/>
          <w:szCs w:val="24"/>
          <w:lang w:val="en-US" w:eastAsia="zh-CN"/>
        </w:rPr>
        <w:t>即</w:t>
      </w:r>
      <w:r>
        <w:rPr>
          <w:rFonts w:hint="eastAsia" w:ascii="宋体" w:hAnsi="宋体" w:eastAsia="宋体" w:cs="宋体"/>
          <w:bCs/>
          <w:color w:val="auto"/>
          <w:kern w:val="0"/>
          <w:sz w:val="24"/>
          <w:szCs w:val="24"/>
          <w:lang w:val="en-US" w:eastAsia="zh-CN"/>
        </w:rPr>
        <w:t>视为报名成功</w:t>
      </w:r>
      <w:r>
        <w:rPr>
          <w:rFonts w:hint="eastAsia" w:cs="宋体"/>
          <w:bCs/>
          <w:color w:val="auto"/>
          <w:kern w:val="0"/>
          <w:sz w:val="24"/>
          <w:szCs w:val="24"/>
          <w:lang w:val="en-US" w:eastAsia="zh-CN"/>
        </w:rPr>
        <w:t>。</w:t>
      </w:r>
    </w:p>
    <w:p>
      <w:pPr>
        <w:pStyle w:val="11"/>
        <w:kinsoku w:val="0"/>
        <w:overflowPunct w:val="0"/>
        <w:spacing w:before="29" w:line="390" w:lineRule="exact"/>
        <w:jc w:val="both"/>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四、响应文件提交</w:t>
      </w:r>
    </w:p>
    <w:p>
      <w:pPr>
        <w:pStyle w:val="11"/>
        <w:kinsoku w:val="0"/>
        <w:overflowPunct w:val="0"/>
        <w:spacing w:before="29" w:line="390" w:lineRule="exact"/>
        <w:ind w:firstLine="480" w:firstLineChars="200"/>
        <w:jc w:val="both"/>
        <w:rPr>
          <w:rFonts w:hint="eastAsia"/>
          <w:bCs/>
          <w:sz w:val="24"/>
          <w:szCs w:val="24"/>
          <w:highlight w:val="none"/>
        </w:rPr>
      </w:pPr>
      <w:r>
        <w:rPr>
          <w:rFonts w:hint="eastAsia" w:ascii="宋体" w:hAnsi="宋体" w:eastAsia="宋体" w:cs="宋体"/>
          <w:sz w:val="24"/>
          <w:szCs w:val="24"/>
          <w:highlight w:val="none"/>
          <w:lang w:val="en-US" w:eastAsia="zh-CN" w:bidi="ja-JP"/>
        </w:rPr>
        <w:t>截止时间：202</w:t>
      </w:r>
      <w:r>
        <w:rPr>
          <w:rFonts w:hint="eastAsia" w:cs="宋体"/>
          <w:sz w:val="24"/>
          <w:szCs w:val="24"/>
          <w:highlight w:val="none"/>
          <w:lang w:val="en-US" w:eastAsia="zh-CN" w:bidi="ja-JP"/>
        </w:rPr>
        <w:t>6</w:t>
      </w:r>
      <w:r>
        <w:rPr>
          <w:rFonts w:hint="eastAsia" w:ascii="宋体" w:hAnsi="宋体" w:eastAsia="宋体" w:cs="宋体"/>
          <w:sz w:val="24"/>
          <w:szCs w:val="24"/>
          <w:highlight w:val="none"/>
          <w:lang w:val="en-US" w:eastAsia="zh-CN" w:bidi="ja-JP"/>
        </w:rPr>
        <w:t>年</w:t>
      </w:r>
      <w:r>
        <w:rPr>
          <w:rFonts w:hint="eastAsia" w:cs="宋体"/>
          <w:sz w:val="24"/>
          <w:szCs w:val="24"/>
          <w:highlight w:val="none"/>
          <w:lang w:val="en-US" w:eastAsia="zh-CN" w:bidi="ja-JP"/>
        </w:rPr>
        <w:t>9</w:t>
      </w:r>
      <w:r>
        <w:rPr>
          <w:rFonts w:hint="eastAsia" w:ascii="宋体" w:hAnsi="宋体" w:eastAsia="宋体" w:cs="宋体"/>
          <w:sz w:val="24"/>
          <w:szCs w:val="24"/>
          <w:highlight w:val="none"/>
          <w:lang w:val="en-US" w:eastAsia="zh-CN" w:bidi="ja-JP"/>
        </w:rPr>
        <w:t>月</w:t>
      </w:r>
      <w:r>
        <w:rPr>
          <w:rFonts w:hint="eastAsia" w:cs="宋体"/>
          <w:sz w:val="24"/>
          <w:szCs w:val="24"/>
          <w:highlight w:val="none"/>
          <w:lang w:val="en-US" w:eastAsia="zh-CN" w:bidi="ja-JP"/>
        </w:rPr>
        <w:t>14</w:t>
      </w:r>
      <w:r>
        <w:rPr>
          <w:rFonts w:hint="eastAsia" w:ascii="宋体" w:hAnsi="宋体" w:eastAsia="宋体" w:cs="宋体"/>
          <w:sz w:val="24"/>
          <w:szCs w:val="24"/>
          <w:highlight w:val="none"/>
          <w:lang w:val="en-US" w:eastAsia="zh-CN" w:bidi="ja-JP"/>
        </w:rPr>
        <w:t>日</w:t>
      </w:r>
      <w:r>
        <w:rPr>
          <w:rFonts w:hint="eastAsia" w:cs="宋体"/>
          <w:sz w:val="24"/>
          <w:szCs w:val="24"/>
          <w:highlight w:val="none"/>
          <w:lang w:val="en-US" w:eastAsia="zh-CN" w:bidi="ja-JP"/>
        </w:rPr>
        <w:t>10</w:t>
      </w:r>
      <w:r>
        <w:rPr>
          <w:rFonts w:hint="eastAsia" w:ascii="宋体" w:hAnsi="宋体" w:eastAsia="宋体" w:cs="宋体"/>
          <w:sz w:val="24"/>
          <w:szCs w:val="24"/>
          <w:highlight w:val="none"/>
          <w:lang w:val="en-US" w:eastAsia="zh-CN" w:bidi="ja-JP"/>
        </w:rPr>
        <w:t>时（北京时</w:t>
      </w:r>
      <w:r>
        <w:rPr>
          <w:rFonts w:hint="eastAsia"/>
          <w:bCs/>
          <w:sz w:val="24"/>
          <w:szCs w:val="24"/>
          <w:highlight w:val="none"/>
        </w:rPr>
        <w:t>间）</w:t>
      </w:r>
    </w:p>
    <w:p>
      <w:pPr>
        <w:pStyle w:val="11"/>
        <w:kinsoku w:val="0"/>
        <w:overflowPunct w:val="0"/>
        <w:spacing w:before="29" w:line="390" w:lineRule="exact"/>
        <w:ind w:firstLine="480" w:firstLineChars="200"/>
        <w:jc w:val="both"/>
        <w:rPr>
          <w:bCs/>
          <w:sz w:val="24"/>
          <w:szCs w:val="24"/>
          <w:highlight w:val="none"/>
          <w:lang w:eastAsia="zh-CN"/>
        </w:rPr>
      </w:pPr>
      <w:r>
        <w:rPr>
          <w:rFonts w:hint="eastAsia"/>
          <w:bCs/>
          <w:sz w:val="24"/>
          <w:szCs w:val="24"/>
          <w:highlight w:val="none"/>
          <w:lang w:val="en-US" w:eastAsia="zh-CN"/>
        </w:rPr>
        <w:t>地点：</w:t>
      </w:r>
      <w:r>
        <w:rPr>
          <w:rFonts w:hint="eastAsia"/>
          <w:bCs/>
          <w:sz w:val="24"/>
          <w:szCs w:val="24"/>
          <w:highlight w:val="none"/>
        </w:rPr>
        <w:t>在</w:t>
      </w:r>
      <w:r>
        <w:rPr>
          <w:rFonts w:hint="eastAsia"/>
          <w:bCs/>
          <w:sz w:val="24"/>
          <w:szCs w:val="24"/>
          <w:highlight w:val="none"/>
          <w:lang w:eastAsia="zh-CN"/>
        </w:rPr>
        <w:t>广东正源泰工程咨询有限公司</w:t>
      </w:r>
      <w:r>
        <w:rPr>
          <w:rFonts w:hint="eastAsia"/>
          <w:sz w:val="24"/>
          <w:szCs w:val="24"/>
          <w:highlight w:val="none"/>
          <w:lang w:eastAsia="zh-CN"/>
        </w:rPr>
        <w:t>开标会议室（地址：江门市蓬江区群华路</w:t>
      </w:r>
      <w:r>
        <w:rPr>
          <w:rFonts w:hint="eastAsia"/>
          <w:sz w:val="24"/>
          <w:szCs w:val="24"/>
          <w:highlight w:val="none"/>
          <w:lang w:val="en-US" w:eastAsia="zh-CN"/>
        </w:rPr>
        <w:t>15号4幢4层3A之二</w:t>
      </w:r>
      <w:r>
        <w:rPr>
          <w:rFonts w:hint="eastAsia"/>
          <w:sz w:val="24"/>
          <w:szCs w:val="24"/>
          <w:highlight w:val="none"/>
          <w:lang w:eastAsia="zh-CN"/>
        </w:rPr>
        <w:t>）。</w:t>
      </w:r>
    </w:p>
    <w:p>
      <w:pPr>
        <w:autoSpaceDE/>
        <w:autoSpaceDN/>
        <w:spacing w:line="390" w:lineRule="exact"/>
        <w:rPr>
          <w:sz w:val="24"/>
          <w:szCs w:val="24"/>
          <w:highlight w:val="none"/>
        </w:rPr>
      </w:pPr>
      <w:r>
        <w:rPr>
          <w:rFonts w:hint="eastAsia"/>
          <w:sz w:val="24"/>
          <w:szCs w:val="24"/>
          <w:highlight w:val="none"/>
        </w:rPr>
        <w:t>五、响应文件开启</w:t>
      </w:r>
    </w:p>
    <w:p>
      <w:pPr>
        <w:autoSpaceDE/>
        <w:autoSpaceDN/>
        <w:spacing w:line="390" w:lineRule="exact"/>
        <w:ind w:firstLine="480" w:firstLineChars="200"/>
        <w:rPr>
          <w:bCs/>
          <w:sz w:val="24"/>
          <w:szCs w:val="24"/>
          <w:highlight w:val="none"/>
          <w:lang w:eastAsia="zh-CN"/>
        </w:rPr>
      </w:pPr>
      <w:r>
        <w:rPr>
          <w:rFonts w:hint="eastAsia"/>
          <w:sz w:val="24"/>
          <w:szCs w:val="24"/>
          <w:highlight w:val="none"/>
        </w:rPr>
        <w:t>地点：</w:t>
      </w:r>
      <w:r>
        <w:rPr>
          <w:rFonts w:hint="eastAsia"/>
          <w:bCs/>
          <w:sz w:val="24"/>
          <w:szCs w:val="24"/>
          <w:highlight w:val="none"/>
        </w:rPr>
        <w:t>在</w:t>
      </w:r>
      <w:r>
        <w:rPr>
          <w:rFonts w:hint="eastAsia"/>
          <w:bCs/>
          <w:sz w:val="24"/>
          <w:szCs w:val="24"/>
          <w:highlight w:val="none"/>
          <w:lang w:eastAsia="zh-CN"/>
        </w:rPr>
        <w:t>广东正源泰工程咨询有限公司</w:t>
      </w:r>
      <w:r>
        <w:rPr>
          <w:rFonts w:hint="eastAsia"/>
          <w:sz w:val="24"/>
          <w:szCs w:val="24"/>
          <w:highlight w:val="none"/>
          <w:lang w:eastAsia="zh-CN"/>
        </w:rPr>
        <w:t>开标会议室（地址：江门市蓬江区群华路15号4幢4层3A之二）</w:t>
      </w:r>
      <w:r>
        <w:rPr>
          <w:rFonts w:hint="eastAsia"/>
          <w:sz w:val="24"/>
          <w:highlight w:val="none"/>
          <w:lang w:eastAsia="zh-CN"/>
        </w:rPr>
        <w:t>。</w:t>
      </w:r>
    </w:p>
    <w:p>
      <w:pPr>
        <w:autoSpaceDE/>
        <w:autoSpaceDN/>
        <w:spacing w:line="390" w:lineRule="exact"/>
        <w:ind w:firstLine="480" w:firstLineChars="200"/>
        <w:rPr>
          <w:bCs/>
          <w:sz w:val="24"/>
          <w:szCs w:val="24"/>
          <w:highlight w:val="none"/>
          <w:lang w:eastAsia="zh-CN"/>
        </w:rPr>
      </w:pPr>
      <w:r>
        <w:rPr>
          <w:rFonts w:hint="eastAsia"/>
          <w:sz w:val="24"/>
          <w:szCs w:val="24"/>
          <w:highlight w:val="none"/>
        </w:rPr>
        <w:t>时间</w:t>
      </w:r>
      <w:r>
        <w:rPr>
          <w:rFonts w:hint="eastAsia"/>
          <w:sz w:val="24"/>
          <w:szCs w:val="24"/>
          <w:highlight w:val="none"/>
          <w:lang w:eastAsia="zh-CN"/>
        </w:rPr>
        <w:t>：</w:t>
      </w:r>
      <w:r>
        <w:rPr>
          <w:rFonts w:hint="eastAsia" w:ascii="宋体" w:hAnsi="宋体" w:eastAsia="宋体" w:cs="宋体"/>
          <w:sz w:val="24"/>
          <w:szCs w:val="24"/>
          <w:highlight w:val="none"/>
          <w:lang w:val="en-US" w:eastAsia="zh-CN" w:bidi="ja-JP"/>
        </w:rPr>
        <w:t>202</w:t>
      </w:r>
      <w:r>
        <w:rPr>
          <w:rFonts w:hint="eastAsia" w:cs="宋体"/>
          <w:sz w:val="24"/>
          <w:szCs w:val="24"/>
          <w:highlight w:val="none"/>
          <w:lang w:val="en-US" w:eastAsia="zh-CN" w:bidi="ja-JP"/>
        </w:rPr>
        <w:t>6</w:t>
      </w:r>
      <w:r>
        <w:rPr>
          <w:rFonts w:hint="eastAsia" w:ascii="宋体" w:hAnsi="宋体" w:eastAsia="宋体" w:cs="宋体"/>
          <w:sz w:val="24"/>
          <w:szCs w:val="24"/>
          <w:highlight w:val="none"/>
          <w:lang w:val="en-US" w:eastAsia="zh-CN" w:bidi="ja-JP"/>
        </w:rPr>
        <w:t>年</w:t>
      </w:r>
      <w:r>
        <w:rPr>
          <w:rFonts w:hint="eastAsia" w:cs="宋体"/>
          <w:sz w:val="24"/>
          <w:szCs w:val="24"/>
          <w:highlight w:val="none"/>
          <w:lang w:val="en-US" w:eastAsia="zh-CN" w:bidi="ja-JP"/>
        </w:rPr>
        <w:t>9</w:t>
      </w:r>
      <w:r>
        <w:rPr>
          <w:rFonts w:hint="eastAsia" w:ascii="宋体" w:hAnsi="宋体" w:eastAsia="宋体" w:cs="宋体"/>
          <w:sz w:val="24"/>
          <w:szCs w:val="24"/>
          <w:highlight w:val="none"/>
          <w:lang w:val="en-US" w:eastAsia="zh-CN" w:bidi="ja-JP"/>
        </w:rPr>
        <w:t>月</w:t>
      </w:r>
      <w:r>
        <w:rPr>
          <w:rFonts w:hint="eastAsia" w:cs="宋体"/>
          <w:sz w:val="24"/>
          <w:szCs w:val="24"/>
          <w:highlight w:val="none"/>
          <w:lang w:val="en-US" w:eastAsia="zh-CN" w:bidi="ja-JP"/>
        </w:rPr>
        <w:t>14</w:t>
      </w:r>
      <w:r>
        <w:rPr>
          <w:rFonts w:hint="eastAsia" w:ascii="宋体" w:hAnsi="宋体" w:eastAsia="宋体" w:cs="宋体"/>
          <w:sz w:val="24"/>
          <w:szCs w:val="24"/>
          <w:highlight w:val="none"/>
          <w:lang w:val="en-US" w:eastAsia="zh-CN" w:bidi="ja-JP"/>
        </w:rPr>
        <w:t>日</w:t>
      </w:r>
      <w:r>
        <w:rPr>
          <w:rFonts w:hint="eastAsia" w:cs="宋体"/>
          <w:sz w:val="24"/>
          <w:szCs w:val="24"/>
          <w:highlight w:val="none"/>
          <w:lang w:val="en-US" w:eastAsia="zh-CN" w:bidi="ja-JP"/>
        </w:rPr>
        <w:t>10</w:t>
      </w:r>
      <w:r>
        <w:rPr>
          <w:rFonts w:hint="eastAsia" w:ascii="宋体" w:hAnsi="宋体" w:eastAsia="宋体" w:cs="宋体"/>
          <w:sz w:val="24"/>
          <w:szCs w:val="24"/>
          <w:highlight w:val="none"/>
          <w:lang w:val="en-US" w:eastAsia="zh-CN" w:bidi="ja-JP"/>
        </w:rPr>
        <w:t>时</w:t>
      </w:r>
      <w:r>
        <w:rPr>
          <w:rFonts w:hint="eastAsia"/>
          <w:bCs/>
          <w:sz w:val="24"/>
          <w:szCs w:val="24"/>
          <w:highlight w:val="none"/>
        </w:rPr>
        <w:t>（北京时间）</w:t>
      </w:r>
      <w:r>
        <w:rPr>
          <w:rFonts w:hint="eastAsia"/>
          <w:bCs/>
          <w:sz w:val="24"/>
          <w:szCs w:val="24"/>
          <w:highlight w:val="none"/>
          <w:lang w:eastAsia="zh-CN"/>
        </w:rPr>
        <w:t>。</w:t>
      </w:r>
    </w:p>
    <w:p>
      <w:pPr>
        <w:pStyle w:val="3"/>
        <w:autoSpaceDE/>
        <w:autoSpaceDN/>
        <w:spacing w:line="390" w:lineRule="exact"/>
        <w:ind w:left="0"/>
        <w:jc w:val="both"/>
        <w:rPr>
          <w:b w:val="0"/>
          <w:sz w:val="24"/>
          <w:szCs w:val="24"/>
          <w:highlight w:val="none"/>
        </w:rPr>
      </w:pPr>
      <w:r>
        <w:rPr>
          <w:rFonts w:hint="eastAsia"/>
          <w:sz w:val="24"/>
          <w:szCs w:val="24"/>
          <w:highlight w:val="none"/>
        </w:rPr>
        <w:t>六、</w:t>
      </w:r>
      <w:bookmarkStart w:id="8" w:name="_Toc35393804"/>
      <w:bookmarkStart w:id="9" w:name="_Toc35393635"/>
      <w:bookmarkStart w:id="10" w:name="_Toc7857"/>
      <w:r>
        <w:rPr>
          <w:rFonts w:hint="eastAsia"/>
          <w:b w:val="0"/>
          <w:sz w:val="24"/>
          <w:szCs w:val="24"/>
          <w:highlight w:val="none"/>
        </w:rPr>
        <w:t>其他补充事宜</w:t>
      </w:r>
      <w:bookmarkEnd w:id="8"/>
      <w:bookmarkEnd w:id="9"/>
      <w:bookmarkEnd w:id="10"/>
    </w:p>
    <w:p>
      <w:pPr>
        <w:pStyle w:val="24"/>
        <w:ind w:firstLine="504"/>
        <w:rPr>
          <w:rFonts w:ascii="宋体" w:eastAsia="宋体"/>
          <w:szCs w:val="24"/>
          <w:highlight w:val="none"/>
          <w:lang w:val="en-US" w:eastAsia="zh-CN"/>
        </w:rPr>
      </w:pPr>
      <w:r>
        <w:rPr>
          <w:rFonts w:hint="eastAsia" w:ascii="宋体" w:eastAsia="宋体"/>
          <w:szCs w:val="24"/>
          <w:highlight w:val="none"/>
          <w:lang w:val="en-US" w:eastAsia="zh-CN"/>
        </w:rPr>
        <w:t>1、供应商必须拟派</w:t>
      </w:r>
      <w:r>
        <w:rPr>
          <w:rFonts w:hint="eastAsia" w:ascii="宋体" w:eastAsia="宋体"/>
          <w:b/>
          <w:bCs/>
          <w:szCs w:val="24"/>
          <w:highlight w:val="none"/>
          <w:lang w:val="en-US" w:eastAsia="zh-CN"/>
        </w:rPr>
        <w:t>法定代表人或委托代理人</w:t>
      </w:r>
      <w:r>
        <w:rPr>
          <w:rFonts w:hint="eastAsia" w:ascii="宋体" w:eastAsia="宋体"/>
          <w:szCs w:val="24"/>
          <w:highlight w:val="none"/>
          <w:lang w:val="en-US" w:eastAsia="zh-CN"/>
        </w:rPr>
        <w:t>参加开标会议，并就有关问题予以正式解答（如需）。</w:t>
      </w:r>
    </w:p>
    <w:p>
      <w:pPr>
        <w:rPr>
          <w:sz w:val="24"/>
          <w:szCs w:val="24"/>
          <w:highlight w:val="none"/>
          <w:lang w:val="en-US" w:eastAsia="zh-CN"/>
        </w:rPr>
      </w:pPr>
      <w:bookmarkStart w:id="11" w:name="_Toc990"/>
      <w:bookmarkStart w:id="12" w:name="_Toc28359096"/>
      <w:bookmarkStart w:id="13" w:name="_Toc35393637"/>
      <w:bookmarkStart w:id="14" w:name="_Toc35393806"/>
      <w:bookmarkStart w:id="15" w:name="_Toc28359019"/>
      <w:r>
        <w:rPr>
          <w:rFonts w:hint="eastAsia"/>
          <w:sz w:val="24"/>
          <w:szCs w:val="24"/>
          <w:highlight w:val="none"/>
        </w:rPr>
        <w:t>八、凡对本次采购提出询问，请按以下方式联系</w:t>
      </w:r>
      <w:bookmarkEnd w:id="11"/>
    </w:p>
    <w:p>
      <w:pPr>
        <w:pStyle w:val="3"/>
        <w:autoSpaceDE/>
        <w:autoSpaceDN/>
        <w:spacing w:line="390" w:lineRule="exact"/>
        <w:jc w:val="both"/>
        <w:rPr>
          <w:b w:val="0"/>
          <w:sz w:val="24"/>
          <w:szCs w:val="24"/>
          <w:highlight w:val="none"/>
        </w:rPr>
      </w:pPr>
      <w:bookmarkStart w:id="16" w:name="_Toc27850"/>
      <w:r>
        <w:rPr>
          <w:rFonts w:hint="eastAsia"/>
          <w:b w:val="0"/>
          <w:sz w:val="24"/>
          <w:szCs w:val="24"/>
          <w:highlight w:val="none"/>
        </w:rPr>
        <w:t>1.采购人信息</w:t>
      </w:r>
      <w:bookmarkEnd w:id="12"/>
      <w:bookmarkEnd w:id="13"/>
      <w:bookmarkEnd w:id="14"/>
      <w:bookmarkEnd w:id="15"/>
      <w:bookmarkEnd w:id="16"/>
    </w:p>
    <w:p>
      <w:pPr>
        <w:autoSpaceDE/>
        <w:autoSpaceDN/>
        <w:spacing w:line="390" w:lineRule="exact"/>
        <w:ind w:left="1116" w:leftChars="371" w:hanging="300" w:hangingChars="125"/>
        <w:rPr>
          <w:rFonts w:hint="eastAsia" w:eastAsia="宋体"/>
          <w:sz w:val="24"/>
          <w:szCs w:val="24"/>
          <w:highlight w:val="none"/>
          <w:lang w:eastAsia="zh-CN"/>
        </w:rPr>
      </w:pPr>
      <w:r>
        <w:rPr>
          <w:rFonts w:hint="eastAsia"/>
          <w:sz w:val="24"/>
          <w:szCs w:val="24"/>
          <w:highlight w:val="none"/>
        </w:rPr>
        <w:t>名    称：</w:t>
      </w:r>
      <w:r>
        <w:rPr>
          <w:rFonts w:hint="eastAsia"/>
          <w:sz w:val="24"/>
          <w:szCs w:val="24"/>
          <w:highlight w:val="none"/>
          <w:lang w:eastAsia="zh-CN"/>
        </w:rPr>
        <w:t>江门市蓬江区城市管理和综合执法局</w:t>
      </w:r>
    </w:p>
    <w:p>
      <w:pPr>
        <w:autoSpaceDE/>
        <w:autoSpaceDN/>
        <w:spacing w:line="390" w:lineRule="exact"/>
        <w:ind w:left="1116" w:leftChars="371" w:hanging="300" w:hangingChars="125"/>
        <w:rPr>
          <w:sz w:val="24"/>
          <w:szCs w:val="24"/>
          <w:highlight w:val="none"/>
          <w:lang w:val="en-US" w:eastAsia="zh-CN"/>
        </w:rPr>
      </w:pPr>
      <w:r>
        <w:rPr>
          <w:rFonts w:hint="eastAsia"/>
          <w:sz w:val="24"/>
          <w:szCs w:val="24"/>
          <w:highlight w:val="none"/>
          <w:lang w:val="en-US" w:eastAsia="zh-CN"/>
        </w:rPr>
        <w:t>联系地址：</w:t>
      </w:r>
      <w:r>
        <w:t>蓬江区幸福路20、22号</w:t>
      </w:r>
    </w:p>
    <w:p>
      <w:pPr>
        <w:autoSpaceDE/>
        <w:autoSpaceDN/>
        <w:spacing w:line="390" w:lineRule="exact"/>
        <w:ind w:left="1116" w:leftChars="371" w:hanging="300" w:hangingChars="125"/>
        <w:rPr>
          <w:sz w:val="24"/>
          <w:szCs w:val="24"/>
          <w:highlight w:val="none"/>
          <w:lang w:val="en-US" w:eastAsia="zh-CN"/>
        </w:rPr>
      </w:pPr>
      <w:r>
        <w:rPr>
          <w:rFonts w:hint="eastAsia"/>
          <w:sz w:val="24"/>
          <w:szCs w:val="24"/>
          <w:highlight w:val="none"/>
          <w:lang w:val="en-US" w:eastAsia="zh-CN"/>
        </w:rPr>
        <w:t>联 系 人：朱工</w:t>
      </w:r>
    </w:p>
    <w:p>
      <w:pPr>
        <w:autoSpaceDE/>
        <w:autoSpaceDN/>
        <w:spacing w:line="390" w:lineRule="exact"/>
        <w:ind w:left="1116" w:leftChars="371" w:hanging="300" w:hangingChars="125"/>
        <w:rPr>
          <w:rFonts w:hint="default"/>
          <w:sz w:val="24"/>
          <w:szCs w:val="24"/>
          <w:highlight w:val="none"/>
          <w:lang w:val="en-US"/>
        </w:rPr>
      </w:pPr>
      <w:r>
        <w:rPr>
          <w:rFonts w:hint="eastAsia"/>
          <w:sz w:val="24"/>
          <w:szCs w:val="24"/>
          <w:highlight w:val="none"/>
          <w:lang w:val="en-US" w:eastAsia="zh-CN"/>
        </w:rPr>
        <w:t>联系电话：0750-8222963</w:t>
      </w:r>
    </w:p>
    <w:p>
      <w:pPr>
        <w:pStyle w:val="3"/>
        <w:autoSpaceDE/>
        <w:autoSpaceDN/>
        <w:spacing w:line="390" w:lineRule="exact"/>
        <w:jc w:val="both"/>
        <w:rPr>
          <w:b w:val="0"/>
          <w:sz w:val="24"/>
          <w:szCs w:val="24"/>
          <w:highlight w:val="none"/>
        </w:rPr>
      </w:pPr>
      <w:bookmarkStart w:id="17" w:name="_Toc35393807"/>
      <w:bookmarkStart w:id="18" w:name="_Toc35393638"/>
      <w:bookmarkStart w:id="19" w:name="_Toc28359020"/>
      <w:bookmarkStart w:id="20" w:name="_Toc11806"/>
      <w:bookmarkStart w:id="21" w:name="_Toc28359097"/>
      <w:r>
        <w:rPr>
          <w:rFonts w:hint="eastAsia"/>
          <w:b w:val="0"/>
          <w:sz w:val="24"/>
          <w:szCs w:val="24"/>
          <w:highlight w:val="none"/>
        </w:rPr>
        <w:t>2.采购代理机构信息</w:t>
      </w:r>
      <w:bookmarkEnd w:id="17"/>
      <w:bookmarkEnd w:id="18"/>
      <w:bookmarkEnd w:id="19"/>
      <w:bookmarkEnd w:id="20"/>
      <w:bookmarkEnd w:id="21"/>
    </w:p>
    <w:p>
      <w:pPr>
        <w:autoSpaceDE/>
        <w:autoSpaceDN/>
        <w:spacing w:line="390" w:lineRule="exact"/>
        <w:ind w:firstLine="720" w:firstLineChars="300"/>
        <w:rPr>
          <w:rFonts w:hint="eastAsia" w:eastAsia="宋体"/>
          <w:bCs/>
          <w:sz w:val="24"/>
          <w:szCs w:val="24"/>
          <w:highlight w:val="none"/>
          <w:lang w:eastAsia="zh-CN"/>
        </w:rPr>
      </w:pPr>
      <w:r>
        <w:rPr>
          <w:rFonts w:hint="eastAsia"/>
          <w:sz w:val="24"/>
          <w:szCs w:val="24"/>
          <w:highlight w:val="none"/>
        </w:rPr>
        <w:t>名    称：</w:t>
      </w:r>
      <w:r>
        <w:rPr>
          <w:rFonts w:hint="eastAsia"/>
          <w:bCs/>
          <w:sz w:val="24"/>
          <w:szCs w:val="24"/>
          <w:highlight w:val="none"/>
          <w:lang w:eastAsia="zh-CN"/>
        </w:rPr>
        <w:t>广东正源泰工程咨询有限公司</w:t>
      </w:r>
    </w:p>
    <w:p>
      <w:pPr>
        <w:autoSpaceDE/>
        <w:autoSpaceDN/>
        <w:spacing w:line="390" w:lineRule="exact"/>
        <w:ind w:firstLine="720" w:firstLineChars="300"/>
        <w:rPr>
          <w:sz w:val="24"/>
          <w:szCs w:val="24"/>
          <w:highlight w:val="none"/>
          <w:lang w:eastAsia="zh-CN"/>
        </w:rPr>
      </w:pPr>
      <w:r>
        <w:rPr>
          <w:rFonts w:hint="eastAsia"/>
          <w:sz w:val="24"/>
          <w:szCs w:val="24"/>
          <w:highlight w:val="none"/>
        </w:rPr>
        <w:t>地    址：</w:t>
      </w:r>
      <w:r>
        <w:rPr>
          <w:rFonts w:hint="eastAsia"/>
          <w:sz w:val="24"/>
          <w:szCs w:val="24"/>
          <w:highlight w:val="none"/>
          <w:lang w:eastAsia="zh-CN"/>
        </w:rPr>
        <w:t>江门市群华路15号4幢3A之二</w:t>
      </w:r>
    </w:p>
    <w:p>
      <w:pPr>
        <w:autoSpaceDE/>
        <w:autoSpaceDN/>
        <w:spacing w:line="390" w:lineRule="exact"/>
        <w:ind w:firstLine="720" w:firstLineChars="300"/>
        <w:rPr>
          <w:rFonts w:hint="eastAsia"/>
          <w:sz w:val="24"/>
          <w:szCs w:val="24"/>
          <w:highlight w:val="none"/>
        </w:rPr>
      </w:pPr>
      <w:r>
        <w:rPr>
          <w:rFonts w:hint="eastAsia"/>
          <w:sz w:val="24"/>
          <w:szCs w:val="24"/>
          <w:highlight w:val="none"/>
          <w:lang w:val="en-US" w:eastAsia="zh-CN"/>
        </w:rPr>
        <w:t>联 系 人：张工</w:t>
      </w:r>
    </w:p>
    <w:p>
      <w:pPr>
        <w:autoSpaceDE/>
        <w:autoSpaceDN/>
        <w:spacing w:line="390" w:lineRule="exact"/>
        <w:ind w:firstLine="720" w:firstLineChars="300"/>
        <w:rPr>
          <w:sz w:val="24"/>
          <w:szCs w:val="24"/>
          <w:highlight w:val="none"/>
          <w:lang w:val="en-US"/>
        </w:rPr>
      </w:pPr>
      <w:r>
        <w:rPr>
          <w:rFonts w:hint="eastAsia"/>
          <w:sz w:val="24"/>
          <w:szCs w:val="24"/>
          <w:highlight w:val="none"/>
        </w:rPr>
        <w:t>联系方式：0750-3221787</w:t>
      </w:r>
    </w:p>
    <w:p>
      <w:pPr>
        <w:pStyle w:val="3"/>
        <w:autoSpaceDE/>
        <w:autoSpaceDN/>
        <w:spacing w:line="390" w:lineRule="exact"/>
        <w:jc w:val="both"/>
        <w:rPr>
          <w:b w:val="0"/>
          <w:sz w:val="24"/>
          <w:szCs w:val="24"/>
          <w:highlight w:val="none"/>
        </w:rPr>
      </w:pPr>
      <w:bookmarkStart w:id="22" w:name="_Toc28359021"/>
      <w:bookmarkStart w:id="23" w:name="_Toc35393808"/>
      <w:bookmarkStart w:id="24" w:name="_Toc35393639"/>
      <w:bookmarkStart w:id="25" w:name="_Toc25993"/>
      <w:bookmarkStart w:id="26" w:name="_Toc28359098"/>
      <w:r>
        <w:rPr>
          <w:rFonts w:hint="eastAsia"/>
          <w:b w:val="0"/>
          <w:sz w:val="24"/>
          <w:szCs w:val="24"/>
          <w:highlight w:val="none"/>
        </w:rPr>
        <w:t>3.项目联系方式</w:t>
      </w:r>
      <w:bookmarkEnd w:id="22"/>
      <w:bookmarkEnd w:id="23"/>
      <w:bookmarkEnd w:id="24"/>
      <w:bookmarkEnd w:id="25"/>
      <w:bookmarkEnd w:id="26"/>
    </w:p>
    <w:p>
      <w:pPr>
        <w:pStyle w:val="15"/>
        <w:spacing w:line="390" w:lineRule="exact"/>
        <w:ind w:firstLine="720" w:firstLineChars="300"/>
        <w:rPr>
          <w:rFonts w:hAnsi="宋体"/>
          <w:sz w:val="24"/>
          <w:szCs w:val="24"/>
          <w:highlight w:val="none"/>
          <w:lang w:eastAsia="zh-CN"/>
        </w:rPr>
      </w:pPr>
      <w:r>
        <w:rPr>
          <w:rFonts w:hint="eastAsia" w:hAnsi="宋体"/>
          <w:sz w:val="24"/>
          <w:szCs w:val="24"/>
          <w:highlight w:val="none"/>
        </w:rPr>
        <w:t>项目联系人：</w:t>
      </w:r>
      <w:r>
        <w:rPr>
          <w:rFonts w:hint="eastAsia" w:hAnsi="宋体"/>
          <w:sz w:val="24"/>
          <w:szCs w:val="24"/>
          <w:highlight w:val="none"/>
          <w:lang w:eastAsia="zh-CN"/>
        </w:rPr>
        <w:t>张</w:t>
      </w:r>
      <w:r>
        <w:rPr>
          <w:rFonts w:hint="eastAsia" w:hAnsi="宋体"/>
          <w:sz w:val="24"/>
          <w:szCs w:val="24"/>
          <w:highlight w:val="none"/>
          <w:lang w:val="en-US" w:eastAsia="zh-CN"/>
        </w:rPr>
        <w:t>工</w:t>
      </w:r>
    </w:p>
    <w:p>
      <w:pPr>
        <w:autoSpaceDE/>
        <w:autoSpaceDN/>
        <w:spacing w:line="390" w:lineRule="exact"/>
        <w:ind w:firstLine="720" w:firstLineChars="300"/>
        <w:rPr>
          <w:sz w:val="24"/>
          <w:szCs w:val="24"/>
          <w:highlight w:val="red"/>
          <w:lang w:val="en-US"/>
        </w:rPr>
      </w:pPr>
      <w:r>
        <w:rPr>
          <w:rFonts w:hint="eastAsia"/>
          <w:sz w:val="24"/>
          <w:szCs w:val="24"/>
          <w:highlight w:val="none"/>
          <w:lang w:eastAsia="zh-CN"/>
        </w:rPr>
        <w:t>项目</w:t>
      </w:r>
      <w:r>
        <w:rPr>
          <w:rFonts w:hint="eastAsia"/>
          <w:sz w:val="24"/>
          <w:szCs w:val="24"/>
          <w:highlight w:val="none"/>
        </w:rPr>
        <w:t>联系方式：0750-3221787</w:t>
      </w:r>
    </w:p>
    <w:p>
      <w:pPr>
        <w:autoSpaceDE/>
        <w:autoSpaceDN/>
        <w:spacing w:line="390" w:lineRule="exact"/>
        <w:ind w:firstLine="720" w:firstLineChars="300"/>
        <w:rPr>
          <w:sz w:val="24"/>
          <w:szCs w:val="24"/>
          <w:highlight w:val="none"/>
        </w:rPr>
      </w:pPr>
    </w:p>
    <w:p>
      <w:pPr>
        <w:pStyle w:val="11"/>
        <w:rPr>
          <w:b/>
          <w:sz w:val="20"/>
          <w:highlight w:val="none"/>
        </w:rPr>
      </w:pPr>
    </w:p>
    <w:p>
      <w:pPr>
        <w:spacing w:before="61"/>
        <w:rPr>
          <w:sz w:val="28"/>
          <w:highlight w:val="none"/>
          <w:lang w:eastAsia="zh-CN"/>
        </w:rPr>
        <w:sectPr>
          <w:footerReference r:id="rId6" w:type="default"/>
          <w:pgSz w:w="11910" w:h="16840"/>
          <w:pgMar w:top="1247" w:right="1247" w:bottom="1247" w:left="1247" w:header="567" w:footer="850" w:gutter="0"/>
          <w:pgNumType w:start="1"/>
          <w:cols w:space="720" w:num="1"/>
        </w:sectPr>
      </w:pPr>
    </w:p>
    <w:p>
      <w:pPr>
        <w:spacing w:before="60"/>
        <w:rPr>
          <w:b/>
          <w:sz w:val="44"/>
          <w:highlight w:val="none"/>
          <w:lang w:eastAsia="zh-CN"/>
        </w:rPr>
      </w:pPr>
      <w:bookmarkStart w:id="27" w:name="_bookmark1"/>
      <w:bookmarkEnd w:id="27"/>
    </w:p>
    <w:p>
      <w:pPr>
        <w:pStyle w:val="24"/>
        <w:ind w:firstLine="890"/>
        <w:rPr>
          <w:b/>
          <w:sz w:val="44"/>
          <w:highlight w:val="none"/>
          <w:lang w:eastAsia="zh-CN"/>
        </w:rPr>
      </w:pPr>
    </w:p>
    <w:p>
      <w:pPr>
        <w:pStyle w:val="24"/>
        <w:ind w:firstLine="890"/>
        <w:rPr>
          <w:b/>
          <w:sz w:val="44"/>
          <w:highlight w:val="none"/>
          <w:lang w:eastAsia="zh-CN"/>
        </w:rPr>
      </w:pPr>
    </w:p>
    <w:p>
      <w:pPr>
        <w:pStyle w:val="24"/>
        <w:ind w:firstLine="890"/>
        <w:rPr>
          <w:b/>
          <w:sz w:val="44"/>
          <w:highlight w:val="none"/>
          <w:lang w:eastAsia="zh-CN"/>
        </w:rPr>
      </w:pPr>
    </w:p>
    <w:p>
      <w:pPr>
        <w:pStyle w:val="24"/>
        <w:ind w:firstLine="890"/>
        <w:rPr>
          <w:b/>
          <w:sz w:val="44"/>
          <w:highlight w:val="none"/>
          <w:lang w:eastAsia="zh-CN"/>
        </w:rPr>
      </w:pPr>
    </w:p>
    <w:p>
      <w:pPr>
        <w:pStyle w:val="24"/>
        <w:ind w:firstLine="890"/>
        <w:rPr>
          <w:b/>
          <w:sz w:val="44"/>
          <w:highlight w:val="none"/>
          <w:lang w:eastAsia="zh-CN"/>
        </w:rPr>
      </w:pPr>
    </w:p>
    <w:p>
      <w:pPr>
        <w:spacing w:before="61"/>
        <w:ind w:left="2662"/>
        <w:outlineLvl w:val="0"/>
        <w:rPr>
          <w:sz w:val="44"/>
          <w:highlight w:val="none"/>
        </w:rPr>
      </w:pPr>
      <w:bookmarkStart w:id="28" w:name="_Toc12667"/>
      <w:bookmarkStart w:id="29" w:name="_Toc1063"/>
      <w:bookmarkStart w:id="30" w:name="_Toc12086_WPSOffice_Level1"/>
      <w:r>
        <w:rPr>
          <w:rFonts w:hint="eastAsia"/>
          <w:b/>
          <w:sz w:val="44"/>
          <w:highlight w:val="none"/>
        </w:rPr>
        <w:t>第二部分 采购项目内容</w:t>
      </w:r>
      <w:bookmarkEnd w:id="28"/>
      <w:bookmarkEnd w:id="29"/>
      <w:bookmarkEnd w:id="30"/>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rPr>
          <w:highlight w:val="none"/>
        </w:rPr>
        <w:sectPr>
          <w:pgSz w:w="11910" w:h="16840"/>
          <w:pgMar w:top="1440" w:right="1080" w:bottom="1440" w:left="1080" w:header="0" w:footer="995" w:gutter="0"/>
          <w:cols w:space="720" w:num="1"/>
        </w:sectPr>
      </w:pPr>
    </w:p>
    <w:p>
      <w:pPr>
        <w:spacing w:line="400" w:lineRule="exact"/>
        <w:rPr>
          <w:b/>
          <w:sz w:val="28"/>
          <w:highlight w:val="none"/>
        </w:rPr>
      </w:pPr>
      <w:bookmarkStart w:id="31" w:name="_bookmark2"/>
      <w:bookmarkEnd w:id="31"/>
      <w:r>
        <w:rPr>
          <w:rFonts w:hint="eastAsia"/>
          <w:b/>
          <w:sz w:val="28"/>
          <w:highlight w:val="none"/>
        </w:rPr>
        <w:t>一、供应商资格要求：</w:t>
      </w:r>
    </w:p>
    <w:p>
      <w:pPr>
        <w:pStyle w:val="49"/>
        <w:adjustRightInd/>
        <w:spacing w:line="400" w:lineRule="exact"/>
        <w:rPr>
          <w:rFonts w:hint="eastAsia"/>
          <w:color w:val="auto"/>
          <w:highlight w:val="none"/>
          <w:lang w:eastAsia="zh-CN"/>
        </w:rPr>
      </w:pPr>
      <w:r>
        <w:rPr>
          <w:rFonts w:hint="eastAsia"/>
          <w:color w:val="auto"/>
          <w:highlight w:val="none"/>
          <w:lang w:eastAsia="zh-CN"/>
        </w:rPr>
        <w:t>（1）投标人应当具备《</w:t>
      </w:r>
      <w:r>
        <w:rPr>
          <w:rFonts w:hint="eastAsia" w:ascii="宋体" w:hAnsi="宋体" w:eastAsia="宋体" w:cs="宋体"/>
          <w:sz w:val="24"/>
          <w:szCs w:val="24"/>
          <w:highlight w:val="none"/>
          <w:lang w:val="en-US" w:eastAsia="zh-CN" w:bidi="ja-JP"/>
        </w:rPr>
        <w:t>中华人民共和国政府采购法</w:t>
      </w:r>
      <w:r>
        <w:rPr>
          <w:rFonts w:hint="eastAsia"/>
          <w:color w:val="auto"/>
          <w:highlight w:val="none"/>
          <w:lang w:eastAsia="zh-CN"/>
        </w:rPr>
        <w:t>》第二十二条规定的条件：</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①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②有依法缴纳税收和社会保障资金的良好记录：提供投标截止日前3个月依法缴纳税收和社会保障资金的相关材料。如依法免税或不需要缴纳社会保障资金的，提供相应证明材料。</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③具有良好的商业信誉和健全的财务会计制度：供应商必须具有良好的商业信誉和健全的财务会计制度（提供202</w:t>
      </w:r>
      <w:r>
        <w:rPr>
          <w:rFonts w:hint="eastAsia"/>
          <w:color w:val="auto"/>
          <w:highlight w:val="none"/>
          <w:lang w:val="en-US" w:eastAsia="zh-CN"/>
        </w:rPr>
        <w:t>5</w:t>
      </w:r>
      <w:r>
        <w:rPr>
          <w:rFonts w:hint="eastAsia"/>
          <w:color w:val="auto"/>
          <w:highlight w:val="none"/>
          <w:lang w:eastAsia="zh-CN"/>
        </w:rPr>
        <w:t>年度财务状况报告或基本开户行出具的资信证明）。</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④履行合同所必需的设备和专业技术能力：须在投标（响应）文件中填报设备及专业技术能力情况。</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⑤参加采购活动前3年内，在经营活动中没有重大违法记录：编辑承诺函承诺相关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49"/>
        <w:adjustRightInd/>
        <w:spacing w:line="400" w:lineRule="exact"/>
        <w:rPr>
          <w:rFonts w:hint="eastAsia"/>
          <w:color w:val="auto"/>
          <w:highlight w:val="none"/>
          <w:lang w:eastAsia="zh-CN"/>
        </w:rPr>
      </w:pPr>
      <w:r>
        <w:rPr>
          <w:rFonts w:hint="eastAsia"/>
          <w:color w:val="auto"/>
          <w:highlight w:val="none"/>
          <w:lang w:eastAsia="zh-CN"/>
        </w:rPr>
        <w:t>（2）落实政府采购政策需满足的资格要求：参与的供应商（联合体）工程的施工单位全部为符合政策要求的中小企业；</w:t>
      </w:r>
    </w:p>
    <w:p>
      <w:pPr>
        <w:pStyle w:val="49"/>
        <w:adjustRightInd/>
        <w:spacing w:line="400" w:lineRule="exact"/>
        <w:rPr>
          <w:rFonts w:hint="eastAsia"/>
          <w:color w:val="auto"/>
          <w:highlight w:val="none"/>
          <w:lang w:eastAsia="zh-CN"/>
        </w:rPr>
      </w:pPr>
      <w:r>
        <w:rPr>
          <w:rFonts w:hint="eastAsia"/>
          <w:color w:val="auto"/>
          <w:highlight w:val="none"/>
          <w:lang w:eastAsia="zh-CN"/>
        </w:rPr>
        <w:t>（3）本项目特定的资格要求：</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①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49"/>
        <w:adjustRightInd/>
        <w:spacing w:line="400" w:lineRule="exact"/>
        <w:ind w:firstLine="480" w:firstLineChars="200"/>
        <w:rPr>
          <w:rFonts w:hint="eastAsia"/>
          <w:color w:val="auto"/>
          <w:highlight w:val="none"/>
          <w:lang w:eastAsia="zh-CN"/>
        </w:rPr>
      </w:pPr>
      <w:r>
        <w:rPr>
          <w:rFonts w:hint="eastAsia"/>
          <w:color w:val="auto"/>
          <w:highlight w:val="none"/>
          <w:lang w:eastAsia="zh-CN"/>
        </w:rPr>
        <w:t>②单位负责人为同一人或者存在直接控股、管理关系的不同供应商，不得同时参加本采购项目响应。为本项目提供整体设计、规范编制或者项目管理、监理、检测等服务的供应商， 不得再参与本项目响应。编辑承诺函承诺相关要求内容。</w:t>
      </w:r>
    </w:p>
    <w:p>
      <w:pPr>
        <w:pStyle w:val="49"/>
        <w:adjustRightInd/>
        <w:spacing w:line="400" w:lineRule="exact"/>
        <w:rPr>
          <w:rFonts w:hint="eastAsia"/>
          <w:color w:val="auto"/>
          <w:highlight w:val="none"/>
          <w:lang w:eastAsia="zh-CN"/>
        </w:rPr>
      </w:pPr>
      <w:r>
        <w:rPr>
          <w:rFonts w:hint="eastAsia"/>
          <w:color w:val="auto"/>
          <w:highlight w:val="none"/>
          <w:lang w:eastAsia="zh-CN"/>
        </w:rPr>
        <w:t>（4）拟派项目负责人：须</w:t>
      </w:r>
      <w:r>
        <w:rPr>
          <w:rFonts w:hint="eastAsia" w:cs="宋体"/>
          <w:sz w:val="24"/>
          <w:szCs w:val="24"/>
          <w:highlight w:val="none"/>
          <w:lang w:val="en-US" w:eastAsia="zh-CN" w:bidi="ja-JP"/>
        </w:rPr>
        <w:t>具备园林或林业类工程师中级及以上职称，并提供该人员2026年5月起任意一个月在投标单位缴纳有效养老社保证明复印件（含分公司或分支机构养老社保缴纳记录）及劳动合同复印件</w:t>
      </w:r>
      <w:r>
        <w:rPr>
          <w:rFonts w:hint="eastAsia"/>
          <w:color w:val="auto"/>
          <w:highlight w:val="none"/>
          <w:lang w:eastAsia="zh-CN"/>
        </w:rPr>
        <w:t>。</w:t>
      </w:r>
    </w:p>
    <w:p>
      <w:pPr>
        <w:pStyle w:val="49"/>
        <w:adjustRightInd/>
        <w:spacing w:line="400" w:lineRule="exact"/>
        <w:rPr>
          <w:rFonts w:hAnsi="宋体"/>
          <w:color w:val="auto"/>
          <w:spacing w:val="-12"/>
          <w:highlight w:val="none"/>
        </w:rPr>
      </w:pPr>
      <w:r>
        <w:rPr>
          <w:rFonts w:hint="eastAsia"/>
          <w:color w:val="auto"/>
          <w:highlight w:val="none"/>
          <w:lang w:eastAsia="zh-CN"/>
        </w:rPr>
        <w:t>（5）本项目不接受联合体投标。</w:t>
      </w:r>
    </w:p>
    <w:p>
      <w:pPr>
        <w:pStyle w:val="34"/>
        <w:tabs>
          <w:tab w:val="left" w:pos="1202"/>
        </w:tabs>
        <w:spacing w:line="400" w:lineRule="exact"/>
        <w:ind w:left="0" w:firstLine="0"/>
        <w:rPr>
          <w:b/>
          <w:sz w:val="28"/>
          <w:highlight w:val="none"/>
        </w:rPr>
      </w:pPr>
      <w:r>
        <w:rPr>
          <w:rFonts w:hint="eastAsia"/>
          <w:b/>
          <w:sz w:val="28"/>
          <w:highlight w:val="none"/>
        </w:rPr>
        <w:t>二、采购项目需求</w:t>
      </w:r>
    </w:p>
    <w:p>
      <w:pPr>
        <w:pStyle w:val="11"/>
        <w:kinsoku w:val="0"/>
        <w:overflowPunct w:val="0"/>
        <w:spacing w:line="400" w:lineRule="exact"/>
        <w:ind w:firstLine="480" w:firstLineChars="200"/>
        <w:rPr>
          <w:highlight w:val="none"/>
          <w:lang w:val="en-US" w:eastAsia="zh-CN"/>
        </w:rPr>
      </w:pPr>
      <w:r>
        <w:rPr>
          <w:rFonts w:hint="eastAsia"/>
          <w:highlight w:val="none"/>
          <w:lang w:val="en-US" w:eastAsia="zh-CN"/>
        </w:rPr>
        <w:t>1、工程概况：本项目为江门市民主法治公园建设项目，位于江门市蓬江区江门大道与双龙大道交叉口东北侧地块，主要内容为实施场地铺装、园林、绿化、安装工程等施工工作（具体详见工程量清单及图纸）。</w:t>
      </w:r>
    </w:p>
    <w:p>
      <w:pPr>
        <w:pStyle w:val="11"/>
        <w:kinsoku w:val="0"/>
        <w:overflowPunct w:val="0"/>
        <w:spacing w:line="400" w:lineRule="exact"/>
        <w:ind w:firstLine="480" w:firstLineChars="200"/>
        <w:rPr>
          <w:highlight w:val="none"/>
          <w:lang w:val="en-US" w:eastAsia="zh-CN"/>
        </w:rPr>
      </w:pPr>
      <w:r>
        <w:rPr>
          <w:rFonts w:hint="eastAsia"/>
          <w:highlight w:val="none"/>
          <w:lang w:val="en-US" w:eastAsia="zh-CN"/>
        </w:rPr>
        <w:t>2、采购范围：详见设计图纸及工程量清单。</w:t>
      </w:r>
    </w:p>
    <w:p>
      <w:pPr>
        <w:pStyle w:val="11"/>
        <w:kinsoku w:val="0"/>
        <w:overflowPunct w:val="0"/>
        <w:spacing w:line="400" w:lineRule="exact"/>
        <w:ind w:firstLine="480" w:firstLineChars="200"/>
        <w:rPr>
          <w:highlight w:val="none"/>
          <w:lang w:val="en-US" w:eastAsia="zh-CN"/>
        </w:rPr>
      </w:pPr>
      <w:r>
        <w:rPr>
          <w:rFonts w:hint="eastAsia"/>
          <w:highlight w:val="none"/>
          <w:lang w:val="en-US" w:eastAsia="zh-CN"/>
        </w:rPr>
        <w:t>3、最高投标限价（元）：</w:t>
      </w:r>
      <w:r>
        <w:rPr>
          <w:rFonts w:hint="eastAsia"/>
          <w:highlight w:val="none"/>
          <w:u w:val="single"/>
          <w:lang w:val="en-US" w:eastAsia="zh-CN"/>
        </w:rPr>
        <w:t>561860.26</w:t>
      </w:r>
      <w:r>
        <w:rPr>
          <w:rFonts w:hint="eastAsia"/>
          <w:highlight w:val="none"/>
          <w:u w:val="single"/>
        </w:rPr>
        <w:t>元</w:t>
      </w:r>
      <w:r>
        <w:rPr>
          <w:rFonts w:hint="eastAsia"/>
          <w:highlight w:val="none"/>
          <w:lang w:val="en-US" w:eastAsia="zh-CN"/>
        </w:rPr>
        <w:t>。</w:t>
      </w:r>
    </w:p>
    <w:p>
      <w:pPr>
        <w:pStyle w:val="11"/>
        <w:kinsoku w:val="0"/>
        <w:overflowPunct w:val="0"/>
        <w:spacing w:line="400" w:lineRule="exact"/>
        <w:ind w:firstLine="480" w:firstLineChars="200"/>
        <w:rPr>
          <w:highlight w:val="none"/>
          <w:lang w:val="en-US" w:eastAsia="zh-CN"/>
        </w:rPr>
      </w:pPr>
      <w:r>
        <w:rPr>
          <w:rFonts w:hint="eastAsia"/>
          <w:highlight w:val="none"/>
          <w:lang w:val="en-US" w:eastAsia="zh-CN"/>
        </w:rPr>
        <w:t>4、工期要求：合同签订生效并接到采购人的书面开工通知书后20个日历天内完成。</w:t>
      </w:r>
    </w:p>
    <w:p>
      <w:pPr>
        <w:pStyle w:val="11"/>
        <w:kinsoku w:val="0"/>
        <w:overflowPunct w:val="0"/>
        <w:spacing w:line="400" w:lineRule="exact"/>
        <w:ind w:firstLine="480" w:firstLineChars="200"/>
        <w:rPr>
          <w:highlight w:val="none"/>
          <w:lang w:val="en-US" w:eastAsia="zh-CN"/>
        </w:rPr>
      </w:pPr>
      <w:r>
        <w:rPr>
          <w:rFonts w:hint="eastAsia"/>
          <w:highlight w:val="none"/>
          <w:lang w:val="en-US" w:eastAsia="zh-CN"/>
        </w:rPr>
        <w:t>5、工程质量要求：一次性通过验收合格。</w:t>
      </w:r>
    </w:p>
    <w:p>
      <w:pPr>
        <w:pStyle w:val="11"/>
        <w:kinsoku w:val="0"/>
        <w:overflowPunct w:val="0"/>
        <w:spacing w:line="400" w:lineRule="exact"/>
        <w:ind w:firstLine="480" w:firstLineChars="200"/>
        <w:rPr>
          <w:highlight w:val="none"/>
          <w:lang w:val="en-US" w:eastAsia="zh-CN"/>
        </w:rPr>
      </w:pPr>
      <w:r>
        <w:rPr>
          <w:rFonts w:hint="eastAsia"/>
          <w:highlight w:val="none"/>
          <w:lang w:val="en-US" w:eastAsia="zh-CN"/>
        </w:rPr>
        <w:t>6、建设地点：江门市蓬江区。</w:t>
      </w:r>
    </w:p>
    <w:p>
      <w:pPr>
        <w:pStyle w:val="34"/>
        <w:tabs>
          <w:tab w:val="left" w:pos="1202"/>
        </w:tabs>
        <w:spacing w:line="400" w:lineRule="exact"/>
        <w:ind w:left="0" w:firstLine="0"/>
        <w:rPr>
          <w:b/>
          <w:sz w:val="28"/>
          <w:highlight w:val="none"/>
        </w:rPr>
      </w:pPr>
      <w:r>
        <w:rPr>
          <w:rFonts w:hint="eastAsia"/>
          <w:b/>
          <w:sz w:val="28"/>
          <w:highlight w:val="none"/>
          <w:lang w:val="en-US" w:eastAsia="zh-CN"/>
        </w:rPr>
        <w:t>三</w:t>
      </w:r>
      <w:r>
        <w:rPr>
          <w:rFonts w:hint="eastAsia"/>
          <w:b/>
          <w:sz w:val="28"/>
          <w:highlight w:val="none"/>
        </w:rPr>
        <w:t>、报价要求</w:t>
      </w:r>
    </w:p>
    <w:p>
      <w:pPr>
        <w:pStyle w:val="34"/>
        <w:tabs>
          <w:tab w:val="left" w:pos="1202"/>
        </w:tabs>
        <w:spacing w:line="400" w:lineRule="exact"/>
        <w:ind w:left="0" w:firstLine="480" w:firstLineChars="200"/>
        <w:rPr>
          <w:sz w:val="24"/>
          <w:highlight w:val="none"/>
        </w:rPr>
      </w:pPr>
      <w:r>
        <w:rPr>
          <w:rFonts w:hint="eastAsia"/>
          <w:sz w:val="24"/>
          <w:highlight w:val="none"/>
          <w:lang w:val="en-US" w:eastAsia="zh-CN"/>
        </w:rPr>
        <w:t>1、</w:t>
      </w:r>
      <w:r>
        <w:rPr>
          <w:rFonts w:hint="eastAsia"/>
          <w:sz w:val="24"/>
          <w:highlight w:val="none"/>
        </w:rPr>
        <w:t>本工程建安费投标报价时采用</w:t>
      </w:r>
      <w:r>
        <w:rPr>
          <w:rFonts w:hint="eastAsia"/>
          <w:sz w:val="24"/>
          <w:highlight w:val="none"/>
          <w:lang w:eastAsia="zh-CN"/>
        </w:rPr>
        <w:t>清单</w:t>
      </w:r>
      <w:r>
        <w:rPr>
          <w:rFonts w:hint="eastAsia"/>
          <w:sz w:val="24"/>
          <w:highlight w:val="none"/>
        </w:rPr>
        <w:t>报价方式，</w:t>
      </w:r>
      <w:r>
        <w:rPr>
          <w:rFonts w:hint="eastAsia"/>
          <w:sz w:val="24"/>
          <w:highlight w:val="none"/>
          <w:lang w:val="en-US" w:eastAsia="zh-CN"/>
        </w:rPr>
        <w:t>即投标人须填报已标价的工程量清单。已标价工程量清单（工程量清单格式按照《建设工程工程清单计价规范》和招标人发出的工程量清单的统一格式执行）。</w:t>
      </w:r>
    </w:p>
    <w:p>
      <w:pPr>
        <w:pStyle w:val="34"/>
        <w:tabs>
          <w:tab w:val="left" w:pos="1202"/>
        </w:tabs>
        <w:spacing w:line="400" w:lineRule="exact"/>
        <w:ind w:left="0" w:firstLine="480" w:firstLineChars="200"/>
        <w:rPr>
          <w:sz w:val="24"/>
          <w:highlight w:val="none"/>
        </w:rPr>
      </w:pPr>
      <w:r>
        <w:rPr>
          <w:rFonts w:hint="eastAsia"/>
          <w:sz w:val="24"/>
          <w:highlight w:val="none"/>
        </w:rPr>
        <w:t>投标总价不得高于最高限价。</w:t>
      </w:r>
    </w:p>
    <w:p>
      <w:pPr>
        <w:pStyle w:val="34"/>
        <w:numPr>
          <w:ilvl w:val="0"/>
          <w:numId w:val="1"/>
        </w:numPr>
        <w:tabs>
          <w:tab w:val="left" w:pos="1202"/>
        </w:tabs>
        <w:spacing w:line="400" w:lineRule="exact"/>
        <w:ind w:left="0" w:firstLine="480" w:firstLineChars="200"/>
        <w:rPr>
          <w:sz w:val="24"/>
          <w:highlight w:val="none"/>
        </w:rPr>
      </w:pPr>
      <w:r>
        <w:rPr>
          <w:rFonts w:hint="eastAsia"/>
          <w:sz w:val="24"/>
          <w:highlight w:val="none"/>
        </w:rPr>
        <w:t>投标人如果发现工程量清单中的数量与图纸中数量不一致时，应立即通知招标人核查，除非招标人以书面方式予以更正，否则，应以工程量清单中列出的数量为准。其他未列入清单的子目将被认为已包含在工程量清单中。</w:t>
      </w:r>
    </w:p>
    <w:p>
      <w:pPr>
        <w:pStyle w:val="34"/>
        <w:numPr>
          <w:ilvl w:val="0"/>
          <w:numId w:val="1"/>
        </w:numPr>
        <w:tabs>
          <w:tab w:val="left" w:pos="1202"/>
        </w:tabs>
        <w:spacing w:line="400" w:lineRule="exact"/>
        <w:ind w:left="0" w:firstLine="480" w:firstLineChars="200"/>
        <w:rPr>
          <w:sz w:val="24"/>
          <w:highlight w:val="none"/>
        </w:rPr>
      </w:pPr>
      <w:r>
        <w:rPr>
          <w:rFonts w:hint="eastAsia"/>
          <w:sz w:val="24"/>
          <w:highlight w:val="none"/>
        </w:rPr>
        <w:t>投标人若中标后，在施工期间发现清单漏项、工程量欠缺的</w:t>
      </w:r>
      <w:r>
        <w:rPr>
          <w:rFonts w:hint="eastAsia"/>
          <w:sz w:val="24"/>
          <w:highlight w:val="none"/>
          <w:lang w:eastAsia="zh-CN"/>
        </w:rPr>
        <w:t>，</w:t>
      </w:r>
      <w:r>
        <w:rPr>
          <w:rFonts w:hint="eastAsia"/>
          <w:sz w:val="24"/>
          <w:highlight w:val="none"/>
        </w:rPr>
        <w:t>应及时书面通知采购人。经采购人、设计单位、监理单位共同确认属清单编制遗漏的，按合同约定的变更程序办理，费用按实结算；属承包人应预见而未预见的，由承包人承担。</w:t>
      </w:r>
    </w:p>
    <w:p>
      <w:pPr>
        <w:pStyle w:val="34"/>
        <w:tabs>
          <w:tab w:val="left" w:pos="1202"/>
        </w:tabs>
        <w:spacing w:line="400" w:lineRule="exact"/>
        <w:ind w:left="0" w:firstLine="0"/>
        <w:rPr>
          <w:b/>
          <w:bCs/>
          <w:sz w:val="28"/>
          <w:szCs w:val="28"/>
          <w:highlight w:val="none"/>
          <w:lang w:val="en-US" w:eastAsia="zh-CN"/>
        </w:rPr>
      </w:pPr>
      <w:r>
        <w:rPr>
          <w:rFonts w:hint="eastAsia"/>
          <w:b/>
          <w:bCs/>
          <w:sz w:val="28"/>
          <w:szCs w:val="28"/>
          <w:highlight w:val="none"/>
          <w:lang w:val="en-US" w:eastAsia="zh-CN"/>
        </w:rPr>
        <w:t>四、项目要求</w:t>
      </w:r>
    </w:p>
    <w:p>
      <w:pPr>
        <w:pStyle w:val="34"/>
        <w:tabs>
          <w:tab w:val="left" w:pos="1202"/>
        </w:tabs>
        <w:spacing w:line="400" w:lineRule="exact"/>
        <w:ind w:left="0" w:firstLine="480" w:firstLineChars="200"/>
        <w:rPr>
          <w:sz w:val="24"/>
          <w:highlight w:val="none"/>
          <w:lang w:val="en-US" w:eastAsia="zh-CN"/>
        </w:rPr>
      </w:pPr>
      <w:r>
        <w:rPr>
          <w:rFonts w:hint="eastAsia"/>
          <w:sz w:val="24"/>
          <w:highlight w:val="none"/>
          <w:lang w:val="en-US" w:eastAsia="zh-CN"/>
        </w:rPr>
        <w:t xml:space="preserve">1、采购人不提供施工所需的食宿、办公、临设及材料加工场地，均由承包人自行解决，其费用由承包人自理。 </w:t>
      </w:r>
    </w:p>
    <w:p>
      <w:pPr>
        <w:pStyle w:val="34"/>
        <w:tabs>
          <w:tab w:val="left" w:pos="1202"/>
        </w:tabs>
        <w:spacing w:line="400" w:lineRule="exact"/>
        <w:ind w:left="0" w:firstLine="480" w:firstLineChars="200"/>
        <w:rPr>
          <w:sz w:val="24"/>
          <w:highlight w:val="none"/>
          <w:lang w:val="en-US" w:eastAsia="zh-CN"/>
        </w:rPr>
      </w:pPr>
      <w:r>
        <w:rPr>
          <w:rFonts w:hint="eastAsia"/>
          <w:sz w:val="24"/>
          <w:highlight w:val="none"/>
          <w:lang w:val="en-US" w:eastAsia="zh-CN"/>
        </w:rPr>
        <w:t>2、中标（成交）供应商的生产用水、电按采购指定地点，由发包人提供，成交人装表驳接。</w:t>
      </w:r>
    </w:p>
    <w:p>
      <w:pPr>
        <w:pStyle w:val="34"/>
        <w:tabs>
          <w:tab w:val="left" w:pos="1202"/>
        </w:tabs>
        <w:spacing w:line="400" w:lineRule="exact"/>
        <w:ind w:left="0" w:firstLine="480" w:firstLineChars="200"/>
        <w:rPr>
          <w:sz w:val="24"/>
          <w:highlight w:val="none"/>
          <w:lang w:val="en-US" w:eastAsia="zh-CN"/>
        </w:rPr>
      </w:pPr>
      <w:r>
        <w:rPr>
          <w:rFonts w:hint="eastAsia"/>
          <w:sz w:val="24"/>
          <w:highlight w:val="none"/>
          <w:lang w:val="en-US" w:eastAsia="zh-CN"/>
        </w:rPr>
        <w:t>3、中标（成交）供应商一旦进场施工，需严格遵守发包人的各项规章制度，包括但不限于：①带证上岗；②在规定的地域施工和活动；③项目经理和管理人员需坚守岗位，因事需离开施工现场超过一天的，需提前向发包人请假，经发包人同意方可离开。</w:t>
      </w:r>
    </w:p>
    <w:p>
      <w:pPr>
        <w:pStyle w:val="34"/>
        <w:tabs>
          <w:tab w:val="left" w:pos="1202"/>
        </w:tabs>
        <w:spacing w:line="400" w:lineRule="exact"/>
        <w:ind w:left="0" w:firstLine="480" w:firstLineChars="200"/>
        <w:rPr>
          <w:sz w:val="24"/>
          <w:highlight w:val="none"/>
          <w:lang w:val="en-US" w:eastAsia="zh-CN"/>
        </w:rPr>
      </w:pPr>
      <w:bookmarkStart w:id="32" w:name="_Toc441052037"/>
      <w:r>
        <w:rPr>
          <w:rFonts w:hint="eastAsia"/>
          <w:sz w:val="24"/>
          <w:highlight w:val="none"/>
          <w:lang w:val="en-US" w:eastAsia="zh-CN"/>
        </w:rPr>
        <w:t>4、中标（成交）供应商必须按响应文件提供管理人员名单委派现场管理人员，非采购人要求的，原则上不得更换。如需更换必须提交书面申请，经采购人同意后方能更换，否则当成交人违反合同规定处理。</w:t>
      </w:r>
      <w:bookmarkEnd w:id="32"/>
      <w:bookmarkStart w:id="33" w:name="_Toc441052038"/>
    </w:p>
    <w:p>
      <w:pPr>
        <w:pStyle w:val="34"/>
        <w:tabs>
          <w:tab w:val="left" w:pos="1202"/>
        </w:tabs>
        <w:spacing w:line="400" w:lineRule="exact"/>
        <w:ind w:left="0" w:firstLine="480" w:firstLineChars="200"/>
        <w:rPr>
          <w:sz w:val="24"/>
          <w:highlight w:val="none"/>
          <w:lang w:val="en-US" w:eastAsia="zh-CN"/>
        </w:rPr>
      </w:pPr>
      <w:r>
        <w:rPr>
          <w:rFonts w:hint="eastAsia"/>
          <w:sz w:val="24"/>
          <w:highlight w:val="none"/>
          <w:lang w:val="en-US" w:eastAsia="zh-CN"/>
        </w:rPr>
        <w:t>5、中标（成交）供应商不得在合同期内私下将本项目转包，一经发现，采购人有权取消成交人的承包资格并追究其相关法律责任。</w:t>
      </w:r>
      <w:bookmarkEnd w:id="33"/>
    </w:p>
    <w:p>
      <w:pPr>
        <w:pStyle w:val="34"/>
        <w:tabs>
          <w:tab w:val="left" w:pos="1202"/>
        </w:tabs>
        <w:spacing w:line="400" w:lineRule="exact"/>
        <w:ind w:left="0" w:firstLine="480" w:firstLineChars="200"/>
        <w:rPr>
          <w:sz w:val="24"/>
          <w:highlight w:val="none"/>
          <w:lang w:val="en-US" w:eastAsia="zh-CN"/>
        </w:rPr>
      </w:pPr>
      <w:bookmarkStart w:id="34" w:name="_Toc441052039"/>
      <w:r>
        <w:rPr>
          <w:rFonts w:hint="eastAsia"/>
          <w:sz w:val="24"/>
          <w:highlight w:val="none"/>
          <w:lang w:val="en-US" w:eastAsia="zh-CN"/>
        </w:rPr>
        <w:t>6、</w:t>
      </w:r>
      <w:bookmarkEnd w:id="34"/>
      <w:bookmarkStart w:id="35" w:name="_Toc441052040"/>
      <w:r>
        <w:rPr>
          <w:rFonts w:hint="eastAsia"/>
          <w:sz w:val="24"/>
          <w:highlight w:val="none"/>
          <w:lang w:val="en-US" w:eastAsia="zh-CN"/>
        </w:rPr>
        <w:t>施工人员必须严格遵守一切规章制度，自觉接受检查，无证人员一律不得进入施工现场，施工人员未经批准不得进入其他区域。</w:t>
      </w:r>
      <w:bookmarkEnd w:id="35"/>
    </w:p>
    <w:p>
      <w:pPr>
        <w:pStyle w:val="34"/>
        <w:tabs>
          <w:tab w:val="left" w:pos="1202"/>
        </w:tabs>
        <w:spacing w:line="400" w:lineRule="exact"/>
        <w:ind w:left="0" w:firstLine="480" w:firstLineChars="200"/>
        <w:rPr>
          <w:sz w:val="24"/>
          <w:highlight w:val="none"/>
          <w:lang w:val="en-US" w:eastAsia="zh-CN"/>
        </w:rPr>
      </w:pPr>
      <w:bookmarkStart w:id="36" w:name="_Toc441052041"/>
      <w:r>
        <w:rPr>
          <w:rFonts w:hint="eastAsia"/>
          <w:sz w:val="24"/>
          <w:highlight w:val="none"/>
          <w:lang w:val="en-US" w:eastAsia="zh-CN"/>
        </w:rPr>
        <w:t>7、中标（成交）供应商必须遵守建设单位施工现场和人员管理的规定，安全生产，文明施工。</w:t>
      </w:r>
      <w:bookmarkEnd w:id="36"/>
      <w:bookmarkStart w:id="37" w:name="_Toc441052042"/>
    </w:p>
    <w:bookmarkEnd w:id="37"/>
    <w:p>
      <w:pPr>
        <w:pStyle w:val="34"/>
        <w:tabs>
          <w:tab w:val="left" w:pos="1202"/>
        </w:tabs>
        <w:spacing w:line="400" w:lineRule="exact"/>
        <w:ind w:left="0" w:firstLine="480" w:firstLineChars="200"/>
        <w:rPr>
          <w:rFonts w:hint="default"/>
          <w:sz w:val="24"/>
          <w:highlight w:val="none"/>
          <w:lang w:val="en-US" w:eastAsia="zh-CN"/>
        </w:rPr>
      </w:pPr>
      <w:bookmarkStart w:id="38" w:name="_Toc441052043"/>
      <w:r>
        <w:rPr>
          <w:rFonts w:hint="eastAsia"/>
          <w:sz w:val="24"/>
          <w:highlight w:val="none"/>
          <w:lang w:val="en-US" w:eastAsia="zh-CN"/>
        </w:rPr>
        <w:t>8、中标（成交）供应商必须注意施工安全，做好安全文明施工工作，如因措施不当造成人身安全或工伤死亡事故，一切责任由成交人负责。</w:t>
      </w:r>
      <w:bookmarkEnd w:id="38"/>
    </w:p>
    <w:p>
      <w:pPr>
        <w:pStyle w:val="34"/>
        <w:tabs>
          <w:tab w:val="left" w:pos="1202"/>
        </w:tabs>
        <w:spacing w:line="400" w:lineRule="exact"/>
        <w:ind w:left="0" w:firstLine="0"/>
        <w:rPr>
          <w:b/>
          <w:bCs/>
          <w:sz w:val="28"/>
          <w:szCs w:val="28"/>
          <w:highlight w:val="none"/>
          <w:lang w:val="en-US" w:eastAsia="zh-CN"/>
        </w:rPr>
      </w:pPr>
      <w:r>
        <w:rPr>
          <w:rFonts w:hint="eastAsia"/>
          <w:b/>
          <w:bCs/>
          <w:sz w:val="28"/>
          <w:szCs w:val="28"/>
          <w:highlight w:val="none"/>
          <w:lang w:val="en-US" w:eastAsia="zh-CN"/>
        </w:rPr>
        <w:t>五、质量要求和质量保修期</w:t>
      </w:r>
    </w:p>
    <w:p>
      <w:pPr>
        <w:pStyle w:val="34"/>
        <w:tabs>
          <w:tab w:val="left" w:pos="1202"/>
        </w:tabs>
        <w:spacing w:line="400" w:lineRule="exact"/>
        <w:ind w:left="0" w:firstLine="480" w:firstLineChars="200"/>
        <w:rPr>
          <w:sz w:val="24"/>
          <w:highlight w:val="none"/>
          <w:lang w:val="en-US" w:eastAsia="zh-CN"/>
        </w:rPr>
      </w:pPr>
      <w:r>
        <w:rPr>
          <w:rFonts w:hint="eastAsia"/>
          <w:sz w:val="24"/>
          <w:highlight w:val="none"/>
          <w:lang w:val="en-US" w:eastAsia="zh-CN"/>
        </w:rPr>
        <w:t>1、质量：一次性通过验收合格。</w:t>
      </w:r>
    </w:p>
    <w:p>
      <w:pPr>
        <w:pStyle w:val="34"/>
        <w:tabs>
          <w:tab w:val="left" w:pos="1202"/>
        </w:tabs>
        <w:spacing w:line="400" w:lineRule="exact"/>
        <w:ind w:left="0" w:firstLine="480" w:firstLineChars="200"/>
        <w:rPr>
          <w:sz w:val="24"/>
          <w:highlight w:val="none"/>
          <w:lang w:val="en-US" w:eastAsia="zh-CN"/>
        </w:rPr>
      </w:pPr>
      <w:r>
        <w:rPr>
          <w:rFonts w:hint="eastAsia"/>
          <w:sz w:val="24"/>
          <w:highlight w:val="none"/>
          <w:lang w:val="en-US" w:eastAsia="zh-CN"/>
        </w:rPr>
        <w:t>2、质保期（养护期）：工程质保期为3个月，质保期内出现工程质量问题，施工方应在48小时内响应，5个工作日内处理完毕。</w:t>
      </w:r>
    </w:p>
    <w:p>
      <w:pPr>
        <w:pStyle w:val="34"/>
        <w:tabs>
          <w:tab w:val="left" w:pos="1202"/>
        </w:tabs>
        <w:spacing w:line="400" w:lineRule="exact"/>
        <w:ind w:left="0" w:firstLine="480" w:firstLineChars="200"/>
        <w:rPr>
          <w:rFonts w:hint="eastAsia"/>
          <w:b/>
          <w:bCs/>
          <w:sz w:val="28"/>
          <w:szCs w:val="28"/>
          <w:highlight w:val="none"/>
          <w:lang w:val="en-US" w:eastAsia="zh-CN"/>
        </w:rPr>
      </w:pPr>
      <w:r>
        <w:rPr>
          <w:rFonts w:hint="eastAsia"/>
          <w:sz w:val="24"/>
          <w:highlight w:val="none"/>
          <w:lang w:val="en-US" w:eastAsia="zh-CN"/>
        </w:rPr>
        <w:t>3、如工期延误采购人向中标（成交）供应商罚款人民币</w:t>
      </w:r>
      <w:r>
        <w:rPr>
          <w:rFonts w:hint="eastAsia"/>
          <w:sz w:val="24"/>
          <w:highlight w:val="none"/>
          <w:u w:val="single"/>
          <w:lang w:val="en-US" w:eastAsia="zh-CN"/>
        </w:rPr>
        <w:t>5000元</w:t>
      </w:r>
      <w:r>
        <w:rPr>
          <w:rFonts w:hint="eastAsia"/>
          <w:sz w:val="24"/>
          <w:highlight w:val="none"/>
          <w:lang w:val="en-US" w:eastAsia="zh-CN"/>
        </w:rPr>
        <w:t>/天。</w:t>
      </w:r>
    </w:p>
    <w:p>
      <w:pPr>
        <w:pStyle w:val="34"/>
        <w:tabs>
          <w:tab w:val="left" w:pos="1202"/>
        </w:tabs>
        <w:spacing w:line="400" w:lineRule="exact"/>
        <w:ind w:left="0" w:firstLine="0"/>
        <w:rPr>
          <w:b/>
          <w:bCs/>
          <w:sz w:val="28"/>
          <w:szCs w:val="28"/>
          <w:highlight w:val="none"/>
          <w:lang w:val="en-US" w:eastAsia="zh-CN"/>
        </w:rPr>
      </w:pPr>
      <w:r>
        <w:rPr>
          <w:rFonts w:hint="eastAsia"/>
          <w:b/>
          <w:bCs/>
          <w:sz w:val="28"/>
          <w:szCs w:val="28"/>
          <w:highlight w:val="none"/>
          <w:lang w:val="en-US" w:eastAsia="zh-CN"/>
        </w:rPr>
        <w:t>六、付款</w:t>
      </w:r>
      <w:r>
        <w:rPr>
          <w:rFonts w:hint="eastAsia" w:cs="宋体"/>
          <w:b/>
          <w:bCs/>
          <w:sz w:val="28"/>
          <w:szCs w:val="28"/>
          <w:highlight w:val="none"/>
          <w:lang w:val="en-US" w:eastAsia="zh-CN"/>
        </w:rPr>
        <w:t>方式</w:t>
      </w:r>
    </w:p>
    <w:p>
      <w:pPr>
        <w:pStyle w:val="34"/>
        <w:tabs>
          <w:tab w:val="left" w:pos="1202"/>
        </w:tabs>
        <w:spacing w:line="400" w:lineRule="exact"/>
        <w:ind w:left="0" w:firstLine="480" w:firstLineChars="200"/>
        <w:rPr>
          <w:rFonts w:hint="eastAsia"/>
          <w:sz w:val="24"/>
          <w:highlight w:val="none"/>
          <w:lang w:val="en-US" w:eastAsia="zh-CN"/>
        </w:rPr>
      </w:pPr>
      <w:r>
        <w:rPr>
          <w:rFonts w:hint="eastAsia"/>
          <w:sz w:val="24"/>
          <w:highlight w:val="none"/>
          <w:lang w:val="en-US" w:eastAsia="zh-CN"/>
        </w:rPr>
        <w:t>1期：合同签订后5个工作日内，采购人支付合同价款（不含暂列金额）的30%，作为工程预付款。</w:t>
      </w:r>
    </w:p>
    <w:p>
      <w:pPr>
        <w:pStyle w:val="34"/>
        <w:tabs>
          <w:tab w:val="left" w:pos="1202"/>
        </w:tabs>
        <w:spacing w:line="400" w:lineRule="exact"/>
        <w:ind w:left="0" w:firstLine="480" w:firstLineChars="200"/>
        <w:rPr>
          <w:rFonts w:hint="eastAsia"/>
          <w:sz w:val="24"/>
          <w:highlight w:val="none"/>
          <w:lang w:val="en-US" w:eastAsia="zh-CN"/>
        </w:rPr>
      </w:pPr>
      <w:r>
        <w:rPr>
          <w:rFonts w:hint="eastAsia"/>
          <w:sz w:val="24"/>
          <w:highlight w:val="none"/>
          <w:lang w:val="en-US" w:eastAsia="zh-CN"/>
        </w:rPr>
        <w:t>2期：工程进度款必须在成交供应商对已完成的工程量进行质量自检合格并经监理工程师、采购人现场管理员进行质量认可签证的基础上，由成交供应商于每月28日前上报已完成的工程量给监理单位审核，由监理单位将已审核的工程量报采购人签注认可，当工程完成进度款超过应扣除工程预付款后，经采购人确认14天内按进度支付实际完成工程量的80%进度款。</w:t>
      </w:r>
    </w:p>
    <w:p>
      <w:pPr>
        <w:pStyle w:val="34"/>
        <w:tabs>
          <w:tab w:val="left" w:pos="1202"/>
        </w:tabs>
        <w:spacing w:line="400" w:lineRule="exact"/>
        <w:ind w:left="0" w:firstLine="480" w:firstLineChars="200"/>
        <w:rPr>
          <w:rFonts w:hint="eastAsia"/>
          <w:sz w:val="24"/>
          <w:highlight w:val="none"/>
          <w:lang w:val="en-US" w:eastAsia="zh-CN"/>
        </w:rPr>
      </w:pPr>
      <w:r>
        <w:rPr>
          <w:rFonts w:hint="eastAsia"/>
          <w:sz w:val="24"/>
          <w:highlight w:val="none"/>
          <w:lang w:val="en-US" w:eastAsia="zh-CN"/>
        </w:rPr>
        <w:t>3期：在工程竣工结算并经有资质的第三方公司审核后按审核额支付至97%。</w:t>
      </w:r>
    </w:p>
    <w:p>
      <w:pPr>
        <w:pStyle w:val="34"/>
        <w:tabs>
          <w:tab w:val="left" w:pos="1202"/>
        </w:tabs>
        <w:spacing w:line="400" w:lineRule="exact"/>
        <w:ind w:left="0" w:firstLine="480" w:firstLineChars="200"/>
        <w:rPr>
          <w:rFonts w:hint="eastAsia"/>
          <w:sz w:val="24"/>
          <w:highlight w:val="none"/>
          <w:lang w:val="en-US" w:eastAsia="zh-CN"/>
        </w:rPr>
      </w:pPr>
      <w:r>
        <w:rPr>
          <w:rFonts w:hint="eastAsia"/>
          <w:sz w:val="24"/>
          <w:highlight w:val="none"/>
          <w:lang w:val="en-US" w:eastAsia="zh-CN"/>
        </w:rPr>
        <w:t>4期：缺陷责任期满移交建设单位后支付至结算总价款的100%。</w:t>
      </w:r>
    </w:p>
    <w:p>
      <w:pPr>
        <w:pStyle w:val="34"/>
        <w:tabs>
          <w:tab w:val="left" w:pos="1202"/>
        </w:tabs>
        <w:spacing w:line="400" w:lineRule="exact"/>
        <w:ind w:left="0" w:leftChars="0" w:firstLine="480" w:firstLineChars="200"/>
        <w:rPr>
          <w:sz w:val="24"/>
          <w:highlight w:val="none"/>
          <w:lang w:val="en-US" w:eastAsia="zh-CN"/>
        </w:rPr>
      </w:pPr>
      <w:r>
        <w:rPr>
          <w:rFonts w:hint="eastAsia"/>
          <w:sz w:val="24"/>
          <w:highlight w:val="none"/>
          <w:lang w:val="en-US" w:eastAsia="zh-CN"/>
        </w:rPr>
        <w:t>结算方式：银行转账。</w:t>
      </w:r>
    </w:p>
    <w:p>
      <w:pPr>
        <w:pStyle w:val="34"/>
        <w:tabs>
          <w:tab w:val="left" w:pos="1202"/>
        </w:tabs>
        <w:spacing w:line="400" w:lineRule="exact"/>
        <w:ind w:left="0" w:firstLine="0"/>
        <w:rPr>
          <w:rFonts w:hint="eastAsia" w:ascii="仿宋_GB2312" w:hAnsi="仿宋_GB2312" w:eastAsia="仿宋_GB2312" w:cs="仿宋_GB2312"/>
          <w:color w:val="auto"/>
          <w:sz w:val="32"/>
          <w:szCs w:val="32"/>
          <w:lang w:eastAsia="zh-CN"/>
        </w:rPr>
      </w:pPr>
      <w:r>
        <w:rPr>
          <w:rFonts w:hint="eastAsia"/>
          <w:b/>
          <w:bCs/>
          <w:sz w:val="28"/>
          <w:szCs w:val="28"/>
          <w:highlight w:val="none"/>
          <w:lang w:val="en-US" w:eastAsia="zh-CN"/>
        </w:rPr>
        <w:t>七</w:t>
      </w:r>
      <w:r>
        <w:rPr>
          <w:rFonts w:hint="eastAsia"/>
          <w:b/>
          <w:bCs/>
          <w:sz w:val="28"/>
          <w:szCs w:val="28"/>
          <w:highlight w:val="none"/>
        </w:rPr>
        <w:t>、</w:t>
      </w:r>
      <w:r>
        <w:rPr>
          <w:rFonts w:hint="eastAsia" w:ascii="宋体" w:hAnsi="宋体" w:eastAsia="宋体" w:cs="宋体"/>
          <w:b/>
          <w:bCs/>
          <w:sz w:val="28"/>
          <w:szCs w:val="28"/>
          <w:highlight w:val="none"/>
          <w:lang w:eastAsia="zh-CN"/>
        </w:rPr>
        <w:t>履约保证金</w:t>
      </w:r>
    </w:p>
    <w:p>
      <w:pPr>
        <w:pStyle w:val="34"/>
        <w:tabs>
          <w:tab w:val="left" w:pos="1202"/>
        </w:tabs>
        <w:spacing w:line="400" w:lineRule="exact"/>
        <w:ind w:left="0" w:firstLine="480" w:firstLineChars="200"/>
        <w:rPr>
          <w:rFonts w:hint="eastAsia" w:ascii="宋体" w:hAnsi="宋体" w:eastAsia="宋体" w:cs="宋体"/>
          <w:sz w:val="24"/>
          <w:highlight w:val="none"/>
          <w:lang w:val="en-US" w:eastAsia="zh-CN"/>
        </w:rPr>
      </w:pPr>
      <w:r>
        <w:rPr>
          <w:rFonts w:hint="eastAsia" w:cs="宋体"/>
          <w:sz w:val="24"/>
          <w:highlight w:val="none"/>
          <w:lang w:val="en-US" w:eastAsia="zh-CN"/>
        </w:rPr>
        <w:t>不收取</w:t>
      </w:r>
      <w:r>
        <w:rPr>
          <w:rFonts w:hint="eastAsia" w:ascii="宋体" w:hAnsi="宋体" w:eastAsia="宋体" w:cs="宋体"/>
          <w:sz w:val="24"/>
          <w:highlight w:val="none"/>
          <w:lang w:val="en-US" w:eastAsia="zh-CN"/>
        </w:rPr>
        <w:t>。</w:t>
      </w:r>
    </w:p>
    <w:p>
      <w:pPr>
        <w:pStyle w:val="34"/>
        <w:tabs>
          <w:tab w:val="left" w:pos="1202"/>
        </w:tabs>
        <w:spacing w:line="400" w:lineRule="exact"/>
        <w:ind w:left="0" w:firstLine="0"/>
        <w:rPr>
          <w:rFonts w:hint="eastAsia"/>
          <w:b/>
          <w:bCs/>
          <w:sz w:val="28"/>
          <w:szCs w:val="28"/>
          <w:highlight w:val="none"/>
          <w:lang w:eastAsia="zh-CN"/>
        </w:rPr>
      </w:pPr>
      <w:r>
        <w:rPr>
          <w:rFonts w:hint="eastAsia"/>
          <w:b/>
          <w:bCs/>
          <w:sz w:val="28"/>
          <w:szCs w:val="28"/>
          <w:highlight w:val="none"/>
          <w:lang w:eastAsia="zh-CN"/>
        </w:rPr>
        <w:t>八、质量保证期及相关服务要求</w:t>
      </w:r>
    </w:p>
    <w:p>
      <w:pPr>
        <w:pStyle w:val="34"/>
        <w:tabs>
          <w:tab w:val="left" w:pos="1202"/>
        </w:tabs>
        <w:spacing w:line="400" w:lineRule="exact"/>
        <w:ind w:left="0" w:firstLine="480" w:firstLineChars="200"/>
        <w:rPr>
          <w:rFonts w:hint="eastAsia" w:ascii="宋体" w:hAnsi="宋体" w:eastAsia="宋体" w:cs="宋体"/>
          <w:sz w:val="24"/>
          <w:highlight w:val="none"/>
          <w:lang w:val="en-US" w:eastAsia="zh-CN"/>
        </w:rPr>
      </w:pPr>
      <w:r>
        <w:rPr>
          <w:rFonts w:hint="eastAsia"/>
          <w:sz w:val="24"/>
          <w:highlight w:val="none"/>
          <w:lang w:val="en-US" w:eastAsia="zh-CN"/>
        </w:rPr>
        <w:t>工程质保期为3个月，质保期内出现工程质量问题，施工方应在48小时内响应，5个工作日内处理完毕</w:t>
      </w:r>
      <w:r>
        <w:rPr>
          <w:rFonts w:hint="eastAsia" w:ascii="宋体" w:hAnsi="宋体" w:eastAsia="宋体" w:cs="宋体"/>
          <w:sz w:val="24"/>
          <w:highlight w:val="none"/>
          <w:lang w:val="en-US" w:eastAsia="zh-CN"/>
        </w:rPr>
        <w:t>。</w:t>
      </w:r>
    </w:p>
    <w:p>
      <w:pPr>
        <w:pStyle w:val="34"/>
        <w:tabs>
          <w:tab w:val="left" w:pos="1202"/>
        </w:tabs>
        <w:spacing w:line="400" w:lineRule="exact"/>
        <w:ind w:left="0" w:firstLine="0"/>
        <w:rPr>
          <w:b/>
          <w:bCs/>
          <w:sz w:val="28"/>
          <w:szCs w:val="28"/>
          <w:highlight w:val="none"/>
          <w:lang w:eastAsia="zh-CN"/>
        </w:rPr>
      </w:pPr>
      <w:r>
        <w:rPr>
          <w:rFonts w:hint="eastAsia"/>
          <w:b/>
          <w:bCs/>
          <w:sz w:val="28"/>
          <w:szCs w:val="28"/>
          <w:highlight w:val="none"/>
          <w:lang w:eastAsia="zh-CN"/>
        </w:rPr>
        <w:t>九、</w:t>
      </w:r>
      <w:r>
        <w:rPr>
          <w:rFonts w:hint="eastAsia"/>
          <w:b/>
          <w:bCs/>
          <w:sz w:val="28"/>
          <w:szCs w:val="28"/>
          <w:highlight w:val="none"/>
        </w:rPr>
        <w:t>其他要求</w:t>
      </w:r>
    </w:p>
    <w:p>
      <w:pPr>
        <w:pStyle w:val="34"/>
        <w:tabs>
          <w:tab w:val="left" w:pos="1202"/>
        </w:tabs>
        <w:spacing w:line="400" w:lineRule="exact"/>
        <w:ind w:left="0" w:firstLine="480" w:firstLineChars="200"/>
        <w:rPr>
          <w:rFonts w:hint="eastAsia"/>
          <w:sz w:val="24"/>
          <w:highlight w:val="none"/>
        </w:rPr>
      </w:pPr>
      <w:r>
        <w:rPr>
          <w:rFonts w:hint="eastAsia"/>
          <w:sz w:val="24"/>
          <w:highlight w:val="none"/>
        </w:rPr>
        <w:t>1、材料要求</w:t>
      </w:r>
    </w:p>
    <w:p>
      <w:pPr>
        <w:pStyle w:val="34"/>
        <w:tabs>
          <w:tab w:val="left" w:pos="1202"/>
        </w:tabs>
        <w:spacing w:line="400" w:lineRule="exact"/>
        <w:ind w:left="0" w:firstLine="480" w:firstLineChars="200"/>
        <w:rPr>
          <w:rFonts w:hint="eastAsia" w:ascii="宋体" w:hAnsi="宋体" w:eastAsia="宋体" w:cs="宋体"/>
          <w:sz w:val="24"/>
          <w:highlight w:val="none"/>
          <w:lang w:eastAsia="zh-CN"/>
        </w:rPr>
      </w:pPr>
      <w:r>
        <w:rPr>
          <w:rFonts w:hint="eastAsia"/>
          <w:sz w:val="24"/>
          <w:highlight w:val="none"/>
        </w:rPr>
        <w:t>工程使用的所有材料应符合国家相关法律和行业标准，工程主要材料需经甲方签字认可后</w:t>
      </w:r>
      <w:r>
        <w:rPr>
          <w:rFonts w:hint="eastAsia" w:ascii="宋体" w:hAnsi="宋体" w:eastAsia="宋体" w:cs="宋体"/>
          <w:sz w:val="24"/>
          <w:highlight w:val="none"/>
        </w:rPr>
        <w:t>方可使用</w:t>
      </w:r>
      <w:r>
        <w:rPr>
          <w:rFonts w:hint="eastAsia" w:ascii="宋体" w:hAnsi="宋体" w:eastAsia="宋体" w:cs="宋体"/>
          <w:sz w:val="24"/>
          <w:highlight w:val="none"/>
          <w:lang w:eastAsia="zh-CN"/>
        </w:rPr>
        <w:t>。</w:t>
      </w:r>
    </w:p>
    <w:p>
      <w:pPr>
        <w:pStyle w:val="34"/>
        <w:tabs>
          <w:tab w:val="left" w:pos="1202"/>
        </w:tabs>
        <w:spacing w:line="400" w:lineRule="exact"/>
        <w:ind w:left="0"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、造价调整条件及范围</w:t>
      </w:r>
    </w:p>
    <w:p>
      <w:pPr>
        <w:pStyle w:val="34"/>
        <w:tabs>
          <w:tab w:val="left" w:pos="1202"/>
        </w:tabs>
        <w:spacing w:line="400" w:lineRule="exact"/>
        <w:ind w:left="0"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根据施工现场实际情况，</w:t>
      </w:r>
      <w:r>
        <w:rPr>
          <w:rFonts w:hint="eastAsia" w:ascii="宋体" w:hAnsi="宋体" w:eastAsia="宋体" w:cs="宋体"/>
          <w:sz w:val="24"/>
          <w:highlight w:val="none"/>
        </w:rPr>
        <w:t>确需进行施工图设计变更和</w:t>
      </w:r>
      <w:r>
        <w:rPr>
          <w:rFonts w:hint="eastAsia" w:ascii="宋体" w:hAnsi="宋体" w:eastAsia="宋体" w:cs="宋体"/>
          <w:sz w:val="24"/>
          <w:highlight w:val="none"/>
          <w:lang w:eastAsia="zh-CN"/>
        </w:rPr>
        <w:t>洽商</w:t>
      </w:r>
      <w:r>
        <w:rPr>
          <w:rFonts w:hint="eastAsia" w:ascii="宋体" w:hAnsi="宋体" w:eastAsia="宋体" w:cs="宋体"/>
          <w:sz w:val="24"/>
          <w:highlight w:val="none"/>
        </w:rPr>
        <w:t>的，要</w:t>
      </w:r>
      <w:r>
        <w:rPr>
          <w:rFonts w:hint="eastAsia" w:ascii="宋体" w:hAnsi="宋体" w:eastAsia="宋体" w:cs="宋体"/>
          <w:sz w:val="24"/>
          <w:highlight w:val="none"/>
          <w:lang w:eastAsia="zh-CN"/>
        </w:rPr>
        <w:t>经</w:t>
      </w:r>
      <w:r>
        <w:rPr>
          <w:rFonts w:hint="eastAsia" w:ascii="宋体" w:hAnsi="宋体" w:eastAsia="宋体" w:cs="宋体"/>
          <w:sz w:val="24"/>
          <w:highlight w:val="none"/>
        </w:rPr>
        <w:t>建设</w:t>
      </w:r>
      <w:r>
        <w:rPr>
          <w:rFonts w:hint="eastAsia" w:ascii="宋体" w:hAnsi="宋体" w:eastAsia="宋体" w:cs="宋体"/>
          <w:sz w:val="24"/>
          <w:highlight w:val="none"/>
          <w:lang w:eastAsia="zh-CN"/>
        </w:rPr>
        <w:t>、</w:t>
      </w:r>
      <w:r>
        <w:rPr>
          <w:rFonts w:hint="eastAsia" w:ascii="宋体" w:hAnsi="宋体" w:eastAsia="宋体" w:cs="宋体"/>
          <w:sz w:val="24"/>
          <w:highlight w:val="none"/>
        </w:rPr>
        <w:t>设计、</w:t>
      </w:r>
      <w:r>
        <w:rPr>
          <w:rFonts w:hint="eastAsia" w:ascii="宋体" w:hAnsi="宋体" w:eastAsia="宋体" w:cs="宋体"/>
          <w:sz w:val="24"/>
          <w:highlight w:val="none"/>
          <w:lang w:eastAsia="zh-CN"/>
        </w:rPr>
        <w:t>施工三</w:t>
      </w:r>
      <w:r>
        <w:rPr>
          <w:rFonts w:hint="eastAsia" w:ascii="宋体" w:hAnsi="宋体" w:eastAsia="宋体" w:cs="宋体"/>
          <w:sz w:val="24"/>
          <w:highlight w:val="none"/>
        </w:rPr>
        <w:t>方共同</w:t>
      </w:r>
      <w:r>
        <w:rPr>
          <w:rFonts w:hint="eastAsia" w:ascii="宋体" w:hAnsi="宋体" w:eastAsia="宋体" w:cs="宋体"/>
          <w:sz w:val="24"/>
          <w:highlight w:val="none"/>
          <w:lang w:eastAsia="zh-CN"/>
        </w:rPr>
        <w:t>确认</w:t>
      </w:r>
      <w:r>
        <w:rPr>
          <w:rFonts w:hint="eastAsia" w:ascii="宋体" w:hAnsi="宋体" w:eastAsia="宋体" w:cs="宋体"/>
          <w:sz w:val="24"/>
          <w:highlight w:val="none"/>
        </w:rPr>
        <w:t>，核对工程量，确定</w:t>
      </w:r>
      <w:r>
        <w:rPr>
          <w:rFonts w:hint="eastAsia" w:ascii="宋体" w:hAnsi="宋体" w:eastAsia="宋体" w:cs="宋体"/>
          <w:sz w:val="24"/>
          <w:highlight w:val="none"/>
          <w:lang w:eastAsia="zh-CN"/>
        </w:rPr>
        <w:t>变更部分</w:t>
      </w:r>
      <w:r>
        <w:rPr>
          <w:rFonts w:hint="eastAsia" w:ascii="宋体" w:hAnsi="宋体" w:eastAsia="宋体" w:cs="宋体"/>
          <w:sz w:val="24"/>
          <w:highlight w:val="none"/>
        </w:rPr>
        <w:t>工程概算价</w:t>
      </w:r>
      <w:r>
        <w:rPr>
          <w:rFonts w:hint="eastAsia" w:ascii="宋体" w:hAnsi="宋体" w:eastAsia="宋体" w:cs="宋体"/>
          <w:sz w:val="24"/>
          <w:highlight w:val="none"/>
          <w:lang w:eastAsia="zh-CN"/>
        </w:rPr>
        <w:t>，</w:t>
      </w:r>
      <w:r>
        <w:rPr>
          <w:rFonts w:hint="eastAsia" w:ascii="宋体" w:hAnsi="宋体" w:eastAsia="宋体" w:cs="宋体"/>
          <w:sz w:val="24"/>
          <w:highlight w:val="none"/>
        </w:rPr>
        <w:t>变更</w:t>
      </w:r>
      <w:r>
        <w:rPr>
          <w:rFonts w:hint="eastAsia" w:ascii="宋体" w:hAnsi="宋体" w:eastAsia="宋体" w:cs="宋体"/>
          <w:sz w:val="24"/>
          <w:highlight w:val="none"/>
          <w:lang w:eastAsia="zh-CN"/>
        </w:rPr>
        <w:t>部分增加的投资</w:t>
      </w:r>
      <w:r>
        <w:rPr>
          <w:rFonts w:hint="eastAsia" w:ascii="宋体" w:hAnsi="宋体" w:eastAsia="宋体" w:cs="宋体"/>
          <w:sz w:val="24"/>
          <w:highlight w:val="none"/>
        </w:rPr>
        <w:t>不</w:t>
      </w:r>
      <w:r>
        <w:rPr>
          <w:rFonts w:hint="eastAsia" w:ascii="宋体" w:hAnsi="宋体" w:eastAsia="宋体" w:cs="宋体"/>
          <w:sz w:val="24"/>
          <w:highlight w:val="none"/>
          <w:lang w:eastAsia="zh-CN"/>
        </w:rPr>
        <w:t>得</w:t>
      </w:r>
      <w:r>
        <w:rPr>
          <w:rFonts w:hint="eastAsia" w:ascii="宋体" w:hAnsi="宋体" w:eastAsia="宋体" w:cs="宋体"/>
          <w:sz w:val="24"/>
          <w:highlight w:val="none"/>
        </w:rPr>
        <w:t>超过合同价的10%，且变更后的总金额不超过项目总投资</w:t>
      </w:r>
      <w:r>
        <w:rPr>
          <w:rFonts w:hint="eastAsia" w:ascii="宋体" w:hAnsi="宋体" w:eastAsia="宋体" w:cs="宋体"/>
          <w:sz w:val="24"/>
          <w:highlight w:val="none"/>
          <w:lang w:eastAsia="zh-CN"/>
        </w:rPr>
        <w:t>。</w:t>
      </w:r>
    </w:p>
    <w:p>
      <w:pPr>
        <w:pStyle w:val="34"/>
        <w:tabs>
          <w:tab w:val="left" w:pos="1202"/>
        </w:tabs>
        <w:spacing w:line="400" w:lineRule="exact"/>
        <w:ind w:left="0" w:firstLine="480" w:firstLineChars="200"/>
        <w:rPr>
          <w:rFonts w:hint="eastAsia" w:ascii="宋体" w:hAnsi="宋体" w:eastAsia="宋体" w:cs="宋体"/>
          <w:sz w:val="24"/>
          <w:highlight w:val="none"/>
          <w:lang w:eastAsia="zh-CN"/>
        </w:rPr>
      </w:pPr>
      <w:r>
        <w:rPr>
          <w:rFonts w:hint="eastAsia" w:cs="宋体"/>
          <w:sz w:val="24"/>
          <w:highlight w:val="none"/>
          <w:lang w:val="en-US" w:eastAsia="zh-CN"/>
        </w:rPr>
        <w:t>3</w:t>
      </w:r>
      <w:r>
        <w:rPr>
          <w:rFonts w:hint="eastAsia" w:ascii="宋体" w:hAnsi="宋体" w:eastAsia="宋体" w:cs="宋体"/>
          <w:sz w:val="24"/>
          <w:highlight w:val="none"/>
          <w:lang w:val="en-US" w:eastAsia="zh-CN"/>
        </w:rPr>
        <w:t>、</w:t>
      </w:r>
      <w:r>
        <w:rPr>
          <w:rFonts w:hint="eastAsia" w:ascii="宋体" w:hAnsi="宋体" w:eastAsia="宋体" w:cs="宋体"/>
          <w:sz w:val="24"/>
          <w:highlight w:val="none"/>
          <w:lang w:eastAsia="zh-CN"/>
        </w:rPr>
        <w:t>造价调整方式</w:t>
      </w:r>
    </w:p>
    <w:p>
      <w:pPr>
        <w:pStyle w:val="34"/>
        <w:tabs>
          <w:tab w:val="left" w:pos="1202"/>
        </w:tabs>
        <w:spacing w:line="400" w:lineRule="exact"/>
        <w:ind w:left="0"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综合单价不变，项目量按实结算。</w:t>
      </w:r>
    </w:p>
    <w:p>
      <w:pPr>
        <w:pStyle w:val="34"/>
        <w:tabs>
          <w:tab w:val="left" w:pos="1202"/>
        </w:tabs>
        <w:spacing w:line="400" w:lineRule="exact"/>
        <w:ind w:left="0" w:firstLine="480" w:firstLineChars="200"/>
        <w:rPr>
          <w:sz w:val="24"/>
          <w:highlight w:val="none"/>
          <w:lang w:eastAsia="zh-CN"/>
        </w:rPr>
      </w:pPr>
      <w:r>
        <w:rPr>
          <w:rFonts w:hint="eastAsia"/>
          <w:sz w:val="24"/>
          <w:highlight w:val="none"/>
          <w:lang w:val="en-US" w:eastAsia="zh-CN"/>
        </w:rPr>
        <w:t>5、</w:t>
      </w:r>
      <w:r>
        <w:rPr>
          <w:rFonts w:hint="eastAsia"/>
          <w:sz w:val="24"/>
          <w:highlight w:val="none"/>
        </w:rPr>
        <w:t>报价人（承包人）一旦成交或签订了施工合同后，由于采购人原因停止建设的，报价人应无条件服从，不得以任何理由向采购人（发包人）提出任何形式索赔。</w:t>
      </w:r>
      <w:bookmarkStart w:id="39" w:name="_Toc5818"/>
      <w:bookmarkStart w:id="40" w:name="_Toc16584_WPSOffice_Level1"/>
      <w:bookmarkStart w:id="41" w:name="_Toc14677"/>
    </w:p>
    <w:p>
      <w:pPr>
        <w:pStyle w:val="24"/>
        <w:ind w:firstLine="504"/>
        <w:rPr>
          <w:highlight w:val="none"/>
          <w:lang w:eastAsia="zh-CN"/>
        </w:rPr>
        <w:sectPr>
          <w:pgSz w:w="11910" w:h="16840"/>
          <w:pgMar w:top="1440" w:right="1080" w:bottom="1440" w:left="1080" w:header="0" w:footer="995" w:gutter="0"/>
          <w:cols w:space="720" w:num="1"/>
        </w:sectPr>
      </w:pPr>
    </w:p>
    <w:p>
      <w:pPr>
        <w:spacing w:line="360" w:lineRule="auto"/>
        <w:jc w:val="center"/>
        <w:outlineLvl w:val="0"/>
        <w:rPr>
          <w:b/>
          <w:bCs/>
          <w:highlight w:val="none"/>
        </w:rPr>
      </w:pPr>
      <w:r>
        <w:rPr>
          <w:rFonts w:hint="eastAsia"/>
          <w:b/>
          <w:sz w:val="44"/>
          <w:highlight w:val="none"/>
        </w:rPr>
        <w:t>第三部分 供应商须知</w:t>
      </w:r>
      <w:bookmarkEnd w:id="39"/>
      <w:bookmarkEnd w:id="40"/>
      <w:bookmarkEnd w:id="41"/>
    </w:p>
    <w:p>
      <w:pPr>
        <w:pStyle w:val="11"/>
        <w:tabs>
          <w:tab w:val="left" w:pos="945"/>
        </w:tabs>
        <w:spacing w:line="500" w:lineRule="exact"/>
        <w:rPr>
          <w:b/>
          <w:bCs/>
          <w:highlight w:val="none"/>
        </w:rPr>
      </w:pPr>
      <w:r>
        <w:rPr>
          <w:rFonts w:hint="eastAsia"/>
          <w:b/>
          <w:bCs/>
          <w:highlight w:val="none"/>
        </w:rPr>
        <w:t>一、说 明</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适用范围</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本文件适用于本</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邀请中所述项目的政府采购。</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定义</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“采购人”是指：</w:t>
      </w:r>
      <w:r>
        <w:rPr>
          <w:rFonts w:hint="eastAsia" w:ascii="Times New Roman" w:hAnsi="Times New Roman"/>
          <w:snapToGrid w:val="0"/>
          <w:sz w:val="24"/>
          <w:szCs w:val="24"/>
          <w:highlight w:val="none"/>
          <w:u w:val="single"/>
          <w:lang w:eastAsia="zh-CN"/>
        </w:rPr>
        <w:t>江门市蓬江区城市管理和综合执法局</w:t>
      </w:r>
      <w:r>
        <w:rPr>
          <w:rFonts w:hint="eastAsia" w:ascii="Times New Roman" w:hAnsi="Times New Roman"/>
          <w:snapToGrid w:val="0"/>
          <w:sz w:val="24"/>
          <w:szCs w:val="24"/>
          <w:highlight w:val="none"/>
        </w:rPr>
        <w:t>。</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“监管部门”是指：</w:t>
      </w:r>
      <w:r>
        <w:rPr>
          <w:rFonts w:hint="eastAsia"/>
          <w:snapToGrid w:val="0"/>
          <w:sz w:val="24"/>
          <w:szCs w:val="24"/>
          <w:highlight w:val="none"/>
          <w:u w:val="single"/>
          <w:lang w:val="en-US" w:eastAsia="zh-CN"/>
        </w:rPr>
        <w:t xml:space="preserve">   各级人民政府财政部门  </w:t>
      </w:r>
      <w:r>
        <w:rPr>
          <w:rFonts w:hint="eastAsia" w:ascii="Times New Roman" w:hAnsi="Times New Roman"/>
          <w:snapToGrid w:val="0"/>
          <w:sz w:val="24"/>
          <w:szCs w:val="24"/>
          <w:highlight w:val="none"/>
        </w:rPr>
        <w:t>。</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“采购代理机构”是指：</w:t>
      </w:r>
      <w:r>
        <w:rPr>
          <w:rFonts w:hint="eastAsia" w:ascii="Times New Roman" w:hAnsi="Times New Roman"/>
          <w:snapToGrid w:val="0"/>
          <w:sz w:val="24"/>
          <w:szCs w:val="24"/>
          <w:highlight w:val="none"/>
          <w:u w:val="single"/>
          <w:lang w:eastAsia="zh-CN"/>
        </w:rPr>
        <w:t>广东正源泰工程咨询有限公司</w:t>
      </w:r>
      <w:r>
        <w:rPr>
          <w:rFonts w:hint="eastAsia" w:ascii="Times New Roman" w:hAnsi="Times New Roman"/>
          <w:snapToGrid w:val="0"/>
          <w:sz w:val="24"/>
          <w:szCs w:val="24"/>
          <w:highlight w:val="none"/>
        </w:rPr>
        <w:t>。</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sz w:val="24"/>
          <w:szCs w:val="24"/>
          <w:highlight w:val="none"/>
        </w:rPr>
        <w:t>“招标采购单位”是指：</w:t>
      </w:r>
      <w:r>
        <w:rPr>
          <w:rFonts w:hint="eastAsia"/>
          <w:sz w:val="24"/>
          <w:szCs w:val="24"/>
          <w:highlight w:val="none"/>
          <w:u w:val="single"/>
        </w:rPr>
        <w:t>采购人，采购代理机构</w:t>
      </w:r>
      <w:r>
        <w:rPr>
          <w:rFonts w:hint="eastAsia"/>
          <w:sz w:val="24"/>
          <w:szCs w:val="24"/>
          <w:highlight w:val="none"/>
        </w:rPr>
        <w:t>。</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合格的供应商</w:t>
      </w:r>
    </w:p>
    <w:p>
      <w:pPr>
        <w:pStyle w:val="34"/>
        <w:numPr>
          <w:ilvl w:val="2"/>
          <w:numId w:val="3"/>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符合《</w:t>
      </w:r>
      <w:r>
        <w:rPr>
          <w:rFonts w:hint="eastAsia" w:ascii="宋体" w:hAnsi="宋体" w:eastAsia="宋体" w:cs="宋体"/>
          <w:sz w:val="24"/>
          <w:szCs w:val="24"/>
          <w:highlight w:val="none"/>
          <w:lang w:val="en-US" w:eastAsia="zh-CN" w:bidi="ja-JP"/>
        </w:rPr>
        <w:t>中华人民共和国政府采购法</w:t>
      </w:r>
      <w:r>
        <w:rPr>
          <w:rFonts w:hint="eastAsia" w:ascii="Times New Roman" w:hAnsi="Times New Roman"/>
          <w:snapToGrid w:val="0"/>
          <w:sz w:val="24"/>
          <w:szCs w:val="24"/>
          <w:highlight w:val="none"/>
        </w:rPr>
        <w:t>》第二十二条规定的供应商。</w:t>
      </w:r>
    </w:p>
    <w:p>
      <w:pPr>
        <w:pStyle w:val="34"/>
        <w:numPr>
          <w:ilvl w:val="2"/>
          <w:numId w:val="3"/>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符合</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文件规定的资格要求。</w:t>
      </w:r>
    </w:p>
    <w:p>
      <w:pPr>
        <w:pStyle w:val="34"/>
        <w:numPr>
          <w:ilvl w:val="2"/>
          <w:numId w:val="3"/>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符合本</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文件采购项目的特殊条件要求。</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“成交供应商”是指经法定程序确定并授予合同的供应商。</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“响应文件”是指：供应商根据本文件要求，编制包含报价、技术和服务等所有内容的实质性响应文件。</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合格的货物和服务、工程</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“货物”是指供应商制造或组织符合</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文件要求的货物等。</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文件中没有提及采购货物来源地的，根据《</w:t>
      </w:r>
      <w:r>
        <w:rPr>
          <w:rFonts w:hint="eastAsia" w:ascii="宋体" w:hAnsi="宋体" w:eastAsia="宋体" w:cs="宋体"/>
          <w:sz w:val="24"/>
          <w:szCs w:val="24"/>
          <w:highlight w:val="none"/>
          <w:lang w:val="en-US" w:eastAsia="zh-CN" w:bidi="ja-JP"/>
        </w:rPr>
        <w:t>中华人民共和国政府采购法</w:t>
      </w:r>
      <w:r>
        <w:rPr>
          <w:rFonts w:hint="eastAsia" w:ascii="Times New Roman" w:hAnsi="Times New Roman"/>
          <w:snapToGrid w:val="0"/>
          <w:sz w:val="24"/>
          <w:szCs w:val="24"/>
          <w:highlight w:val="none"/>
        </w:rPr>
        <w:t>》的相关规定均应是本国货物，优先采购节能、环保产品。</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的货物必须是其合法生产的符合国家有关标准要求的货物，并满足政府</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文件规定的规格、参数、质量、价格、有效期、售后服务等要求。</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“服务”是指除货物和工程以外的其他政府采购对象,其中包括：供应商须承担的运输、安装、技术支持、培训以及</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文件规定的其它服务。</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“工程”是指按照招标投标法及其实施条例必须进行招标的工程建设项目以外的工程建设项目。</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费用</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供应商应承担所有与准备和参加</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有关的费用。不论</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的结果如何，政府采购代理机构和采购人均无义务和责任承担这些费用。</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本次</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向中标单位收取招标代理服务费。</w:t>
      </w:r>
    </w:p>
    <w:p>
      <w:pPr>
        <w:pStyle w:val="34"/>
        <w:numPr>
          <w:ilvl w:val="2"/>
          <w:numId w:val="4"/>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中标供应商应在确定中标后三个工作日内向采购代理机构一次性交纳中标服务费。</w:t>
      </w:r>
    </w:p>
    <w:p>
      <w:pPr>
        <w:pStyle w:val="34"/>
        <w:numPr>
          <w:ilvl w:val="2"/>
          <w:numId w:val="4"/>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采购机构代理服务收费标准：以中标（成交）通知书中的中标（成交）金额作为招标代理服务费的计算基数，参照国家计委[2002]1980号《招标代理服务收费管理暂行办法》的规定及代理服务合同（协议）约定，依照差额定率累进法计算收取。若计算结果不足5000元的，按5000元计取。</w:t>
      </w:r>
    </w:p>
    <w:p>
      <w:pPr>
        <w:pStyle w:val="11"/>
        <w:tabs>
          <w:tab w:val="left" w:pos="945"/>
        </w:tabs>
        <w:spacing w:line="500" w:lineRule="exact"/>
        <w:rPr>
          <w:b/>
          <w:bCs/>
          <w:highlight w:val="none"/>
        </w:rPr>
      </w:pPr>
      <w:r>
        <w:rPr>
          <w:rFonts w:hint="eastAsia"/>
          <w:b/>
          <w:bCs/>
          <w:highlight w:val="none"/>
        </w:rPr>
        <w:t>二、</w:t>
      </w:r>
      <w:r>
        <w:rPr>
          <w:rFonts w:hint="eastAsia"/>
          <w:b/>
          <w:bCs/>
          <w:highlight w:val="none"/>
          <w:lang w:val="en-US" w:eastAsia="zh-CN"/>
        </w:rPr>
        <w:t>采购</w:t>
      </w:r>
      <w:r>
        <w:rPr>
          <w:rFonts w:hint="eastAsia"/>
          <w:b/>
          <w:bCs/>
          <w:highlight w:val="none"/>
        </w:rPr>
        <w:t>文件</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文件的构成</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文件由下列文件以及在</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过程中发出的修正和补充文件组成：</w:t>
      </w:r>
    </w:p>
    <w:p>
      <w:pPr>
        <w:pStyle w:val="34"/>
        <w:numPr>
          <w:ilvl w:val="2"/>
          <w:numId w:val="5"/>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邀请函</w:t>
      </w:r>
    </w:p>
    <w:p>
      <w:pPr>
        <w:pStyle w:val="34"/>
        <w:numPr>
          <w:ilvl w:val="2"/>
          <w:numId w:val="5"/>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采购项目内容</w:t>
      </w:r>
    </w:p>
    <w:p>
      <w:pPr>
        <w:pStyle w:val="34"/>
        <w:numPr>
          <w:ilvl w:val="2"/>
          <w:numId w:val="5"/>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供应商须知</w:t>
      </w:r>
    </w:p>
    <w:p>
      <w:pPr>
        <w:pStyle w:val="34"/>
        <w:numPr>
          <w:ilvl w:val="2"/>
          <w:numId w:val="5"/>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合同书格式</w:t>
      </w:r>
    </w:p>
    <w:p>
      <w:pPr>
        <w:pStyle w:val="34"/>
        <w:numPr>
          <w:ilvl w:val="2"/>
          <w:numId w:val="5"/>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响应文件格式</w:t>
      </w:r>
    </w:p>
    <w:p>
      <w:pPr>
        <w:pStyle w:val="34"/>
        <w:numPr>
          <w:ilvl w:val="2"/>
          <w:numId w:val="5"/>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在</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过程中由采购代理机构发出的修正和补充文件等</w:t>
      </w:r>
    </w:p>
    <w:p>
      <w:pPr>
        <w:pStyle w:val="34"/>
        <w:numPr>
          <w:ilvl w:val="1"/>
          <w:numId w:val="2"/>
        </w:numPr>
        <w:tabs>
          <w:tab w:val="left" w:pos="10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供应商应认真阅读、并充分理解</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文件的全部内容（包括所有的补充、修改内容、重要事项、格式、条款和技术规范、参数及要求等）。供应商没有按照</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文件要求提交全部资料，或没有对</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文件在各方面都做出实质性响应是供应商的风险，有可能导致其被拒绝，或被认定为无效响应或被确定为</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无效。</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文件的澄清</w:t>
      </w:r>
    </w:p>
    <w:p>
      <w:pPr>
        <w:pStyle w:val="11"/>
        <w:spacing w:line="500" w:lineRule="exact"/>
        <w:ind w:firstLine="480" w:firstLineChars="200"/>
        <w:rPr>
          <w:highlight w:val="none"/>
        </w:rPr>
      </w:pPr>
      <w:r>
        <w:rPr>
          <w:rFonts w:hint="eastAsia"/>
          <w:highlight w:val="none"/>
        </w:rPr>
        <w:t>采购人、采购代理机构可以对已发出的</w:t>
      </w:r>
      <w:r>
        <w:rPr>
          <w:rFonts w:hint="eastAsia"/>
          <w:highlight w:val="none"/>
          <w:lang w:val="en-US" w:eastAsia="zh-CN"/>
        </w:rPr>
        <w:t>采购</w:t>
      </w:r>
      <w:r>
        <w:rPr>
          <w:rFonts w:hint="eastAsia"/>
          <w:highlight w:val="none"/>
        </w:rPr>
        <w:t>文件进行必要的澄清或者修改，澄清或者修</w:t>
      </w:r>
      <w:r>
        <w:rPr>
          <w:rFonts w:hint="eastAsia"/>
          <w:spacing w:val="-1"/>
          <w:highlight w:val="none"/>
        </w:rPr>
        <w:t>改的内容作为</w:t>
      </w:r>
      <w:r>
        <w:rPr>
          <w:rFonts w:hint="eastAsia"/>
          <w:spacing w:val="-1"/>
          <w:highlight w:val="none"/>
          <w:lang w:val="en-US" w:eastAsia="zh-CN"/>
        </w:rPr>
        <w:t>采购</w:t>
      </w:r>
      <w:r>
        <w:rPr>
          <w:rFonts w:hint="eastAsia"/>
          <w:spacing w:val="-1"/>
          <w:highlight w:val="none"/>
        </w:rPr>
        <w:t>文件的组成部分。澄清或者修改的内容可能影响响应文件编制的，采</w:t>
      </w:r>
      <w:r>
        <w:rPr>
          <w:rFonts w:hint="eastAsia"/>
          <w:spacing w:val="-2"/>
          <w:highlight w:val="none"/>
        </w:rPr>
        <w:t>购人、采购代理机构应当在提交首次响应文件截止之日</w:t>
      </w:r>
      <w:r>
        <w:rPr>
          <w:rFonts w:hint="eastAsia"/>
          <w:highlight w:val="none"/>
        </w:rPr>
        <w:t>5</w:t>
      </w:r>
      <w:r>
        <w:rPr>
          <w:rFonts w:hint="eastAsia"/>
          <w:spacing w:val="-11"/>
          <w:highlight w:val="none"/>
        </w:rPr>
        <w:t>个工作日前。不足</w:t>
      </w:r>
      <w:r>
        <w:rPr>
          <w:rFonts w:hint="eastAsia"/>
          <w:highlight w:val="none"/>
        </w:rPr>
        <w:t>5</w:t>
      </w:r>
      <w:r>
        <w:rPr>
          <w:rFonts w:hint="eastAsia"/>
          <w:spacing w:val="-12"/>
          <w:highlight w:val="none"/>
        </w:rPr>
        <w:t>个工作日</w:t>
      </w:r>
      <w:r>
        <w:rPr>
          <w:rFonts w:hint="eastAsia"/>
          <w:highlight w:val="none"/>
        </w:rPr>
        <w:t>的，应当顺延提交首次响应文件截止之日。供应商在收到上述通知后，应立即以书面形式向采购代理机构确认。</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供应商在法定的时间内未对</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文件澄清或提出疑问的，采购代理机构将视其为无异议。对</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文件中描述有歧意或前后不一致的地方，</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小组有权进行评判，但对同一条款的评判应适用于每个供应商。</w:t>
      </w:r>
    </w:p>
    <w:p>
      <w:pPr>
        <w:pStyle w:val="11"/>
        <w:spacing w:line="500" w:lineRule="exact"/>
        <w:rPr>
          <w:b/>
          <w:bCs/>
          <w:highlight w:val="none"/>
        </w:rPr>
      </w:pPr>
      <w:r>
        <w:rPr>
          <w:rFonts w:hint="eastAsia"/>
          <w:b/>
          <w:bCs/>
          <w:highlight w:val="none"/>
        </w:rPr>
        <w:t>三、响应文件的编制和数量</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语言</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供应商提交的响应文件以及供应商与采购代理机构就有关所有来往函电均应使用中文。供应商提交的支持文件或印刷的资料可以用另一种语言，但相应内容应附有中文翻译本，在解释响应文件的修改内容时以中文翻译本为准。对中文翻译有异议的，以权威机构的译本为准。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响应文件的构成应符合法律法规及</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 xml:space="preserve">文件的要求。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响应文件编制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供应商对</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 xml:space="preserve">文件中多个包（组）进行响应的，其响应文件的编制应按每个包（组）的要求分别装订和封装。供应商应当对响应文件进行装订，对未经装订的响应文件可能发生的文件散落或缺损，由此产生的后果由供应商承担。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供应商应完整、真实、准确的填写</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文件中规定的所有内容。响应文件必须按本文件的全部内容，包括所有的补充通知及附件进行编制。如果因为供应商响应文件填报的内容不详，或没有提供</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 xml:space="preserve">文件中所要求的全部资料及数据，由此造成的后果， 其责任由供应商承担。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供应商必须对响应文件所提供的全部资料的真实性承担法律责任，并无条件接受采购代理机构及政府采购监督管理部门等对其中任何资料进行核实的要求。供应商必须对响应文件所提供的全部资料的真实性承担法律责任。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报价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供应商所提供的货物和服务、工程均应以人民币报价，若同时以人民币及外币报价的，以人民币报价为准。</w:t>
      </w:r>
    </w:p>
    <w:p>
      <w:pPr>
        <w:pStyle w:val="34"/>
        <w:numPr>
          <w:ilvl w:val="1"/>
          <w:numId w:val="2"/>
        </w:numPr>
        <w:tabs>
          <w:tab w:val="left" w:pos="850"/>
          <w:tab w:val="clear" w:pos="210"/>
        </w:tabs>
        <w:spacing w:line="500" w:lineRule="exact"/>
        <w:ind w:left="0" w:firstLine="480" w:firstLineChars="200"/>
        <w:rPr>
          <w:spacing w:val="-1"/>
          <w:sz w:val="24"/>
          <w:highlight w:val="none"/>
        </w:rPr>
      </w:pPr>
      <w:r>
        <w:rPr>
          <w:rFonts w:hint="eastAsia" w:ascii="Times New Roman" w:hAnsi="Times New Roman"/>
          <w:snapToGrid w:val="0"/>
          <w:sz w:val="24"/>
          <w:szCs w:val="24"/>
          <w:highlight w:val="none"/>
        </w:rPr>
        <w:t>供应商应按照“第二部分”采购项目内容”规定的内容、责任范围以及合同条款</w:t>
      </w:r>
      <w:r>
        <w:rPr>
          <w:rFonts w:hint="eastAsia" w:ascii="Times New Roman" w:hAnsi="Times New Roman"/>
          <w:snapToGrid w:val="0"/>
          <w:sz w:val="24"/>
          <w:szCs w:val="24"/>
          <w:highlight w:val="none"/>
          <w:lang w:eastAsia="zh-CN"/>
        </w:rPr>
        <w:t>，</w:t>
      </w:r>
      <w:r>
        <w:rPr>
          <w:rFonts w:hint="eastAsia"/>
          <w:spacing w:val="-1"/>
          <w:sz w:val="24"/>
          <w:highlight w:val="none"/>
        </w:rPr>
        <w:t>并按</w:t>
      </w:r>
      <w:r>
        <w:rPr>
          <w:rFonts w:hint="eastAsia"/>
          <w:spacing w:val="-1"/>
          <w:sz w:val="24"/>
          <w:highlight w:val="none"/>
          <w:lang w:eastAsia="zh-CN"/>
        </w:rPr>
        <w:t>以下要求进行报价：</w:t>
      </w:r>
      <w:r>
        <w:rPr>
          <w:rFonts w:hint="eastAsia"/>
          <w:sz w:val="24"/>
          <w:highlight w:val="none"/>
        </w:rPr>
        <w:t>本工程建安费投标报价时采用</w:t>
      </w:r>
      <w:r>
        <w:rPr>
          <w:rFonts w:hint="eastAsia"/>
          <w:sz w:val="24"/>
          <w:highlight w:val="none"/>
          <w:lang w:eastAsia="zh-CN"/>
        </w:rPr>
        <w:t>清单</w:t>
      </w:r>
      <w:r>
        <w:rPr>
          <w:rFonts w:hint="eastAsia"/>
          <w:sz w:val="24"/>
          <w:highlight w:val="none"/>
        </w:rPr>
        <w:t>报价方式，即投标人须</w:t>
      </w:r>
      <w:r>
        <w:rPr>
          <w:rFonts w:hint="eastAsia"/>
          <w:sz w:val="24"/>
          <w:highlight w:val="none"/>
          <w:lang w:eastAsia="zh-CN"/>
        </w:rPr>
        <w:t>填</w:t>
      </w:r>
      <w:r>
        <w:rPr>
          <w:rFonts w:hint="eastAsia"/>
          <w:sz w:val="24"/>
          <w:highlight w:val="none"/>
        </w:rPr>
        <w:t>报</w:t>
      </w:r>
      <w:r>
        <w:rPr>
          <w:rFonts w:hint="eastAsia"/>
          <w:sz w:val="24"/>
          <w:highlight w:val="none"/>
          <w:lang w:eastAsia="zh-CN"/>
        </w:rPr>
        <w:t>已标价的工程量清单</w:t>
      </w:r>
      <w:r>
        <w:rPr>
          <w:rFonts w:hint="eastAsia"/>
          <w:sz w:val="24"/>
          <w:highlight w:val="none"/>
        </w:rPr>
        <w:t>。</w:t>
      </w:r>
      <w:r>
        <w:rPr>
          <w:rFonts w:hint="eastAsia"/>
          <w:sz w:val="24"/>
          <w:highlight w:val="none"/>
          <w:lang w:eastAsia="zh-CN"/>
        </w:rPr>
        <w:t>已标价工程量清单（工程量清单格式按照《建设工程工程清单计价规范》</w:t>
      </w:r>
      <w:r>
        <w:rPr>
          <w:rFonts w:hint="eastAsia"/>
          <w:sz w:val="24"/>
          <w:highlight w:val="none"/>
          <w:lang w:val="en-US" w:eastAsia="zh-CN"/>
        </w:rPr>
        <w:t>和招标人发出的工程量清单的统一格式执行）。</w:t>
      </w:r>
      <w:r>
        <w:rPr>
          <w:rFonts w:hint="eastAsia"/>
          <w:spacing w:val="-1"/>
          <w:sz w:val="24"/>
          <w:highlight w:val="none"/>
        </w:rPr>
        <w:t>否则，其报价将可能被视为无效报价或确定为报价无效。</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备选方案</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只允许供应商有一个响应方案，否则将被视为无效</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文件允许有备选方案的除外）</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联合体</w:t>
      </w:r>
      <w:r>
        <w:rPr>
          <w:rFonts w:hint="eastAsia" w:ascii="Times New Roman" w:hAnsi="Times New Roman"/>
          <w:snapToGrid w:val="0"/>
          <w:sz w:val="24"/>
          <w:szCs w:val="24"/>
          <w:highlight w:val="none"/>
          <w:lang w:val="en-US" w:eastAsia="zh-CN"/>
        </w:rPr>
        <w:t>响应</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组成联合体</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的按政府采购的法律、法规、规章等有关规定执行。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供应商资格证明文件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供应商应按</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文件的要求，提交证明其有资格参加</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和成交后有履行合同能力的文件，并作为其响应文件的组成部分，详见本文件中“</w:t>
      </w:r>
      <w:r>
        <w:rPr>
          <w:rFonts w:hint="eastAsia" w:ascii="Times New Roman" w:hAnsi="Times New Roman"/>
          <w:b/>
          <w:bCs/>
          <w:snapToGrid w:val="0"/>
          <w:sz w:val="24"/>
          <w:szCs w:val="24"/>
          <w:highlight w:val="none"/>
        </w:rPr>
        <w:t>关于资格的声明函</w:t>
      </w:r>
      <w:r>
        <w:rPr>
          <w:rFonts w:hint="eastAsia" w:ascii="Times New Roman" w:hAnsi="Times New Roman"/>
          <w:snapToGrid w:val="0"/>
          <w:sz w:val="24"/>
          <w:szCs w:val="24"/>
          <w:highlight w:val="none"/>
        </w:rPr>
        <w:t>”。</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资格证明文件必须真实有效，复印件必须加盖单位印章。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证明</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标的的合格性和符合</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文件规定的资料：按本</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 xml:space="preserve">文件中第二部分“采购项目内容”中的要求提供。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保证金 </w:t>
      </w:r>
    </w:p>
    <w:p>
      <w:pPr>
        <w:pStyle w:val="34"/>
        <w:tabs>
          <w:tab w:val="left" w:pos="850"/>
        </w:tabs>
        <w:spacing w:line="500" w:lineRule="exact"/>
        <w:ind w:left="0" w:firstLine="476" w:firstLineChars="200"/>
        <w:rPr>
          <w:spacing w:val="-1"/>
          <w:sz w:val="24"/>
          <w:szCs w:val="24"/>
          <w:highlight w:val="none"/>
        </w:rPr>
      </w:pPr>
      <w:r>
        <w:rPr>
          <w:rFonts w:hint="eastAsia"/>
          <w:spacing w:val="-1"/>
          <w:sz w:val="24"/>
          <w:highlight w:val="none"/>
          <w:lang w:val="en-US" w:eastAsia="zh-CN"/>
        </w:rPr>
        <w:t>15.1.</w:t>
      </w:r>
      <w:r>
        <w:rPr>
          <w:rFonts w:hint="eastAsia"/>
          <w:b/>
          <w:bCs/>
          <w:spacing w:val="-1"/>
          <w:sz w:val="24"/>
          <w:highlight w:val="none"/>
          <w:lang w:val="en-US" w:eastAsia="zh-CN"/>
        </w:rPr>
        <w:t>本项目不收取投标保证金，投标人如有违规行为的，按诚信管理有关规定处理。</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的截止期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的截止时间为</w:t>
      </w:r>
      <w:r>
        <w:rPr>
          <w:rFonts w:hint="eastAsia"/>
          <w:b/>
          <w:bCs/>
          <w:snapToGrid w:val="0"/>
          <w:sz w:val="24"/>
          <w:szCs w:val="24"/>
          <w:highlight w:val="none"/>
          <w:u w:val="single"/>
        </w:rPr>
        <w:t xml:space="preserve"> 20</w:t>
      </w:r>
      <w:r>
        <w:rPr>
          <w:rFonts w:hint="eastAsia"/>
          <w:b/>
          <w:bCs/>
          <w:snapToGrid w:val="0"/>
          <w:sz w:val="24"/>
          <w:szCs w:val="24"/>
          <w:highlight w:val="none"/>
          <w:u w:val="single"/>
          <w:lang w:val="en-US" w:eastAsia="zh-CN"/>
        </w:rPr>
        <w:t>26</w:t>
      </w:r>
      <w:r>
        <w:rPr>
          <w:rFonts w:hint="eastAsia"/>
          <w:b/>
          <w:bCs/>
          <w:snapToGrid w:val="0"/>
          <w:sz w:val="24"/>
          <w:szCs w:val="24"/>
          <w:highlight w:val="none"/>
          <w:u w:val="single"/>
        </w:rPr>
        <w:t>年</w:t>
      </w:r>
      <w:r>
        <w:rPr>
          <w:rFonts w:hint="eastAsia"/>
          <w:b/>
          <w:bCs/>
          <w:snapToGrid w:val="0"/>
          <w:sz w:val="24"/>
          <w:szCs w:val="24"/>
          <w:highlight w:val="none"/>
          <w:u w:val="single"/>
          <w:lang w:val="en-US" w:eastAsia="zh-CN"/>
        </w:rPr>
        <w:t>9</w:t>
      </w:r>
      <w:r>
        <w:rPr>
          <w:rFonts w:hint="eastAsia"/>
          <w:b/>
          <w:bCs/>
          <w:snapToGrid w:val="0"/>
          <w:sz w:val="24"/>
          <w:szCs w:val="24"/>
          <w:highlight w:val="none"/>
          <w:u w:val="single"/>
        </w:rPr>
        <w:t>月</w:t>
      </w:r>
      <w:r>
        <w:rPr>
          <w:rFonts w:hint="eastAsia"/>
          <w:b/>
          <w:bCs/>
          <w:snapToGrid w:val="0"/>
          <w:sz w:val="24"/>
          <w:szCs w:val="24"/>
          <w:highlight w:val="none"/>
          <w:u w:val="single"/>
          <w:lang w:val="en-US" w:eastAsia="zh-CN"/>
        </w:rPr>
        <w:t>14</w:t>
      </w:r>
      <w:r>
        <w:rPr>
          <w:rFonts w:hint="eastAsia"/>
          <w:b/>
          <w:bCs/>
          <w:snapToGrid w:val="0"/>
          <w:sz w:val="24"/>
          <w:szCs w:val="24"/>
          <w:highlight w:val="none"/>
          <w:u w:val="single"/>
        </w:rPr>
        <w:t>日</w:t>
      </w:r>
      <w:r>
        <w:rPr>
          <w:rFonts w:hint="eastAsia"/>
          <w:b/>
          <w:bCs/>
          <w:snapToGrid w:val="0"/>
          <w:sz w:val="24"/>
          <w:szCs w:val="24"/>
          <w:highlight w:val="none"/>
          <w:u w:val="single"/>
          <w:lang w:val="en-US" w:eastAsia="zh-CN"/>
        </w:rPr>
        <w:t>上</w:t>
      </w:r>
      <w:r>
        <w:rPr>
          <w:rFonts w:hint="eastAsia"/>
          <w:b/>
          <w:bCs/>
          <w:snapToGrid w:val="0"/>
          <w:sz w:val="24"/>
          <w:szCs w:val="24"/>
          <w:highlight w:val="none"/>
          <w:u w:val="single"/>
        </w:rPr>
        <w:t>午</w:t>
      </w:r>
      <w:r>
        <w:rPr>
          <w:rFonts w:hint="eastAsia"/>
          <w:b/>
          <w:bCs/>
          <w:snapToGrid w:val="0"/>
          <w:sz w:val="24"/>
          <w:szCs w:val="24"/>
          <w:highlight w:val="none"/>
          <w:u w:val="single"/>
          <w:lang w:val="en-US" w:eastAsia="zh-CN"/>
        </w:rPr>
        <w:t>10</w:t>
      </w:r>
      <w:r>
        <w:rPr>
          <w:rFonts w:hint="eastAsia"/>
          <w:b/>
          <w:bCs/>
          <w:snapToGrid w:val="0"/>
          <w:sz w:val="24"/>
          <w:szCs w:val="24"/>
          <w:highlight w:val="none"/>
          <w:u w:val="single"/>
        </w:rPr>
        <w:t>时</w:t>
      </w:r>
      <w:r>
        <w:rPr>
          <w:rFonts w:hint="eastAsia"/>
          <w:b/>
          <w:bCs/>
          <w:snapToGrid w:val="0"/>
          <w:sz w:val="24"/>
          <w:szCs w:val="24"/>
          <w:highlight w:val="none"/>
          <w:u w:val="single"/>
          <w:lang w:eastAsia="zh-CN"/>
        </w:rPr>
        <w:t>（北京时间）</w:t>
      </w:r>
      <w:r>
        <w:rPr>
          <w:rFonts w:hint="eastAsia" w:ascii="Times New Roman" w:hAnsi="Times New Roman"/>
          <w:snapToGrid w:val="0"/>
          <w:sz w:val="24"/>
          <w:szCs w:val="24"/>
          <w:highlight w:val="none"/>
        </w:rPr>
        <w:t>，供应商应当在</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文件要求的截止时间前，将响应文件密封送达指定地点。在截止时间后送达的响应文件为无效文件，采购人、采购代理机构应当拒收。</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响应文件的数量和签署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供应商应编制响应文件一式</w:t>
      </w:r>
      <w:r>
        <w:rPr>
          <w:rFonts w:hint="eastAsia" w:ascii="Times New Roman" w:hAnsi="Times New Roman"/>
          <w:snapToGrid w:val="0"/>
          <w:sz w:val="24"/>
          <w:szCs w:val="24"/>
          <w:highlight w:val="none"/>
          <w:lang w:eastAsia="zh-CN"/>
        </w:rPr>
        <w:t>三</w:t>
      </w:r>
      <w:r>
        <w:rPr>
          <w:rFonts w:hint="eastAsia" w:ascii="Times New Roman" w:hAnsi="Times New Roman"/>
          <w:snapToGrid w:val="0"/>
          <w:sz w:val="24"/>
          <w:szCs w:val="24"/>
          <w:highlight w:val="none"/>
        </w:rPr>
        <w:t>份，其中正本一份和副本</w:t>
      </w:r>
      <w:r>
        <w:rPr>
          <w:rFonts w:hint="eastAsia" w:ascii="Times New Roman" w:hAnsi="Times New Roman"/>
          <w:snapToGrid w:val="0"/>
          <w:sz w:val="24"/>
          <w:szCs w:val="24"/>
          <w:highlight w:val="none"/>
          <w:lang w:eastAsia="zh-CN"/>
        </w:rPr>
        <w:t>二</w:t>
      </w:r>
      <w:r>
        <w:rPr>
          <w:rFonts w:hint="eastAsia" w:ascii="Times New Roman" w:hAnsi="Times New Roman"/>
          <w:snapToGrid w:val="0"/>
          <w:sz w:val="24"/>
          <w:szCs w:val="24"/>
          <w:highlight w:val="none"/>
        </w:rPr>
        <w:t>份，响应文件的副本可采用正本的复印件。每套响应文件须清楚地标明“正本”、“副本”。若副本与正本不符，以正本为准。</w:t>
      </w:r>
      <w:r>
        <w:rPr>
          <w:rFonts w:hint="eastAsia" w:ascii="宋体" w:hAnsi="宋体" w:cs="宋体"/>
          <w:b/>
          <w:bCs/>
          <w:color w:val="auto"/>
          <w:kern w:val="0"/>
          <w:sz w:val="24"/>
          <w:szCs w:val="24"/>
          <w:lang w:eastAsia="zh-CN"/>
        </w:rPr>
        <w:t>另提供一份投标文件</w:t>
      </w:r>
      <w:r>
        <w:rPr>
          <w:rFonts w:hint="eastAsia" w:cs="宋体"/>
          <w:b/>
          <w:bCs/>
          <w:color w:val="auto"/>
          <w:kern w:val="0"/>
          <w:sz w:val="24"/>
          <w:szCs w:val="24"/>
          <w:lang w:val="en-US" w:eastAsia="zh-CN"/>
        </w:rPr>
        <w:t>正本</w:t>
      </w:r>
      <w:r>
        <w:rPr>
          <w:rFonts w:hint="eastAsia" w:ascii="宋体" w:hAnsi="宋体" w:cs="宋体"/>
          <w:b/>
          <w:bCs/>
          <w:color w:val="auto"/>
          <w:kern w:val="0"/>
          <w:sz w:val="24"/>
          <w:szCs w:val="24"/>
          <w:lang w:eastAsia="zh-CN"/>
        </w:rPr>
        <w:t>扫描件</w:t>
      </w:r>
      <w:r>
        <w:rPr>
          <w:rFonts w:hint="eastAsia" w:ascii="宋体" w:hAnsi="宋体" w:cs="宋体"/>
          <w:b/>
          <w:bCs/>
          <w:color w:val="auto"/>
          <w:kern w:val="0"/>
          <w:sz w:val="24"/>
          <w:szCs w:val="24"/>
          <w:lang w:val="en-US" w:eastAsia="zh-CN"/>
        </w:rPr>
        <w:t>U盘，与投标文件正本一齐密封</w:t>
      </w:r>
      <w:r>
        <w:rPr>
          <w:rFonts w:hint="eastAsia" w:cs="宋体"/>
          <w:b/>
          <w:bCs/>
          <w:color w:val="auto"/>
          <w:kern w:val="0"/>
          <w:sz w:val="24"/>
          <w:szCs w:val="24"/>
          <w:lang w:val="en-US" w:eastAsia="zh-CN"/>
        </w:rPr>
        <w:t>。</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响应文件的正本需打印或用不褪色墨水书写，并由法定代表人或经其正式授权的代表签字。授权代表须出具书面授权证明，其《法定代表人授权书》应附在响应文件中。</w:t>
      </w:r>
    </w:p>
    <w:p>
      <w:pPr>
        <w:pStyle w:val="34"/>
        <w:numPr>
          <w:ilvl w:val="1"/>
          <w:numId w:val="2"/>
        </w:numPr>
        <w:tabs>
          <w:tab w:val="left" w:pos="850"/>
          <w:tab w:val="clear" w:pos="210"/>
        </w:tabs>
        <w:spacing w:line="500" w:lineRule="exact"/>
        <w:ind w:left="0" w:firstLine="480" w:firstLineChars="200"/>
        <w:rPr>
          <w:sz w:val="24"/>
          <w:szCs w:val="24"/>
          <w:highlight w:val="none"/>
        </w:rPr>
      </w:pPr>
      <w:r>
        <w:rPr>
          <w:rFonts w:hint="eastAsia" w:ascii="Times New Roman" w:hAnsi="Times New Roman"/>
          <w:snapToGrid w:val="0"/>
          <w:sz w:val="24"/>
          <w:szCs w:val="24"/>
          <w:highlight w:val="none"/>
        </w:rPr>
        <w:t xml:space="preserve">响应文件中的任何重要的插字、涂改和增删，必须由法定代表人或经其正式授权的代表在旁边签章或签字才有效。 </w:t>
      </w:r>
    </w:p>
    <w:p>
      <w:pPr>
        <w:pStyle w:val="34"/>
        <w:tabs>
          <w:tab w:val="left" w:pos="850"/>
        </w:tabs>
        <w:spacing w:line="500" w:lineRule="exact"/>
        <w:ind w:left="0" w:firstLine="0"/>
        <w:rPr>
          <w:b/>
          <w:bCs/>
          <w:sz w:val="24"/>
          <w:szCs w:val="24"/>
          <w:highlight w:val="none"/>
        </w:rPr>
      </w:pPr>
      <w:r>
        <w:rPr>
          <w:rFonts w:hint="eastAsia"/>
          <w:b/>
          <w:bCs/>
          <w:sz w:val="24"/>
          <w:szCs w:val="24"/>
          <w:highlight w:val="none"/>
        </w:rPr>
        <w:t>四、响应文件的递交</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响应文件的密封和标记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供应商应将响应文件正本和所有的副本分别单独密封包装，并在外包装上清晰标明“正本”、“副本”字样。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外包装上应当注明项目名称、项目编号和“在（</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 xml:space="preserve">文件中规定的开标日期和时点）之前不得启封”的字样，封口处应加盖供应商印章。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如果未按要求密封和标记，采购代理机构对误投或提前启封概不负责。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响应文件的修改和撤回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供应商在</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截止时间前，可以对所递交的响应文件进行补充、修改或者撤回，并书面通知采购代理机构。补充、修改的内容应当按</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文件要求签署、盖章，并作为响应文件的组成部分。在</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截止时点之后，供应商不得对其响应文件做任何修改和补充。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供应商在递交响应文件后，可以撤回其</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，但供应商必须在规定的</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截止时点前以书面形式告知采购代理机构。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供应商所提交的响应文件在</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结束后，无论成交与否都不退还。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响应文件从开标之日起，有效期为</w:t>
      </w:r>
      <w:r>
        <w:rPr>
          <w:rFonts w:hint="eastAsia"/>
          <w:snapToGrid w:val="0"/>
          <w:sz w:val="24"/>
          <w:szCs w:val="24"/>
          <w:highlight w:val="none"/>
          <w:u w:val="single"/>
        </w:rPr>
        <w:t>60</w:t>
      </w:r>
      <w:r>
        <w:rPr>
          <w:rFonts w:hint="eastAsia"/>
          <w:snapToGrid w:val="0"/>
          <w:sz w:val="24"/>
          <w:szCs w:val="24"/>
          <w:highlight w:val="none"/>
        </w:rPr>
        <w:t>个日历</w:t>
      </w:r>
      <w:r>
        <w:rPr>
          <w:rFonts w:hint="eastAsia"/>
          <w:snapToGrid w:val="0"/>
          <w:sz w:val="24"/>
          <w:szCs w:val="24"/>
          <w:highlight w:val="none"/>
          <w:lang w:val="en-US" w:eastAsia="zh-CN"/>
        </w:rPr>
        <w:t>天</w:t>
      </w:r>
      <w:r>
        <w:rPr>
          <w:rFonts w:hint="eastAsia" w:ascii="Times New Roman" w:hAnsi="Times New Roman"/>
          <w:snapToGrid w:val="0"/>
          <w:sz w:val="24"/>
          <w:szCs w:val="24"/>
          <w:highlight w:val="none"/>
        </w:rPr>
        <w:t>。特殊情况下，采购代理机构可于</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有效期期满之前，要求供应商同意延长</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有效期，要求与答复均应为书面形式。对于同意该要求的供应商，既不要求也不允许其修改响应文件。 </w:t>
      </w:r>
    </w:p>
    <w:p>
      <w:pPr>
        <w:pStyle w:val="8"/>
        <w:tabs>
          <w:tab w:val="left" w:pos="850"/>
        </w:tabs>
        <w:spacing w:line="500" w:lineRule="exact"/>
        <w:ind w:left="0"/>
        <w:rPr>
          <w:highlight w:val="none"/>
        </w:rPr>
      </w:pPr>
      <w:r>
        <w:rPr>
          <w:rFonts w:hint="eastAsia"/>
          <w:highlight w:val="none"/>
        </w:rPr>
        <w:t>五、开标、定标</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开标仪式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采购代理机构在《邀请函》中规定的日期、时间和地点组织开标仪式。开标时原则上应当有采购人代表和供应商代表参加。参加开标的代表应签到以证明其出席。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开标时，由供应商或其推选的代表检查响应文件的密封情况，经确认无误后由工作人员当众宣读供应商名称</w:t>
      </w:r>
      <w:r>
        <w:rPr>
          <w:rFonts w:hint="eastAsia" w:ascii="Times New Roman" w:hAnsi="Times New Roman"/>
          <w:snapToGrid w:val="0"/>
          <w:sz w:val="24"/>
          <w:szCs w:val="24"/>
          <w:highlight w:val="none"/>
          <w:lang w:val="en-US" w:eastAsia="zh-CN"/>
        </w:rPr>
        <w:t>及</w:t>
      </w:r>
      <w:r>
        <w:rPr>
          <w:rFonts w:hint="eastAsia" w:ascii="Times New Roman" w:hAnsi="Times New Roman"/>
          <w:snapToGrid w:val="0"/>
          <w:sz w:val="24"/>
          <w:szCs w:val="24"/>
          <w:highlight w:val="none"/>
        </w:rPr>
        <w:t xml:space="preserve">相关事项。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小组的组成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小组由采购人代表和评审专家依法组成，采购人代表人数、专家人数及专业构成按政府采购规定确定。</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w:t>
      </w:r>
      <w:r>
        <w:rPr>
          <w:rFonts w:hint="eastAsia" w:ascii="Times New Roman" w:hAnsi="Times New Roman"/>
          <w:snapToGrid w:val="0"/>
          <w:sz w:val="24"/>
          <w:szCs w:val="24"/>
          <w:highlight w:val="none"/>
          <w:lang w:val="en-US" w:eastAsia="zh-CN"/>
        </w:rPr>
        <w:t>就</w:t>
      </w:r>
      <w:r>
        <w:rPr>
          <w:rFonts w:hint="eastAsia" w:ascii="Times New Roman" w:hAnsi="Times New Roman"/>
          <w:snapToGrid w:val="0"/>
          <w:sz w:val="24"/>
          <w:szCs w:val="24"/>
          <w:highlight w:val="none"/>
        </w:rPr>
        <w:t>所有符合相应资格条件的供应商</w:t>
      </w:r>
      <w:r>
        <w:rPr>
          <w:rFonts w:hint="eastAsia" w:ascii="Times New Roman" w:hAnsi="Times New Roman"/>
          <w:snapToGrid w:val="0"/>
          <w:sz w:val="24"/>
          <w:szCs w:val="24"/>
          <w:highlight w:val="none"/>
          <w:lang w:val="en-US" w:eastAsia="zh-CN"/>
        </w:rPr>
        <w:t>进行评审</w:t>
      </w:r>
      <w:r>
        <w:rPr>
          <w:rFonts w:hint="eastAsia" w:ascii="Times New Roman" w:hAnsi="Times New Roman"/>
          <w:snapToGrid w:val="0"/>
          <w:sz w:val="24"/>
          <w:szCs w:val="24"/>
          <w:highlight w:val="none"/>
        </w:rPr>
        <w:t xml:space="preserve">。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程序： </w:t>
      </w:r>
    </w:p>
    <w:p>
      <w:pPr>
        <w:pStyle w:val="34"/>
        <w:numPr>
          <w:ilvl w:val="2"/>
          <w:numId w:val="6"/>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审查响应文件是否对</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文件作出实质性的响应。</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小组对供应商进行资格性、符合性进行审查，对未作出实质性响应的供应商应实行现场告知，由</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小组或采购人代表将集体意见现场及时告知该供应商，以让其核证、澄清事实。 </w:t>
      </w:r>
    </w:p>
    <w:p>
      <w:pPr>
        <w:pStyle w:val="34"/>
        <w:numPr>
          <w:ilvl w:val="2"/>
          <w:numId w:val="6"/>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小组与供应商应围绕技术、商务、合同条款等内容分别进行一轮或多轮的</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。在</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过程中，</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小组应当严格遵循保密原则，未经供应商同意不得向任何人透露当事人技术、价格和其他重要信息。 </w:t>
      </w:r>
    </w:p>
    <w:p>
      <w:pPr>
        <w:pStyle w:val="34"/>
        <w:numPr>
          <w:ilvl w:val="2"/>
          <w:numId w:val="6"/>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经</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确定最终采购需求和提交报价的供应商后，由</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小组采用综合评分法对提交报价的供应商的响应文件进行综合评分，并编写评审报告。</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 xml:space="preserve">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由法定代表人或其授权代表签字或者加盖公章。 </w:t>
      </w:r>
    </w:p>
    <w:p>
      <w:pPr>
        <w:pStyle w:val="34"/>
        <w:numPr>
          <w:ilvl w:val="1"/>
          <w:numId w:val="2"/>
        </w:numPr>
        <w:tabs>
          <w:tab w:val="left" w:pos="850"/>
          <w:tab w:val="clear" w:pos="210"/>
        </w:tabs>
        <w:spacing w:line="500" w:lineRule="exact"/>
        <w:ind w:left="0" w:firstLine="481" w:firstLineChars="200"/>
        <w:rPr>
          <w:rFonts w:ascii="Times New Roman" w:hAnsi="Times New Roman"/>
          <w:b/>
          <w:bCs/>
          <w:snapToGrid w:val="0"/>
          <w:sz w:val="24"/>
          <w:szCs w:val="24"/>
          <w:highlight w:val="none"/>
        </w:rPr>
      </w:pPr>
      <w:r>
        <w:rPr>
          <w:rFonts w:hint="eastAsia" w:ascii="Times New Roman" w:hAnsi="Times New Roman"/>
          <w:b/>
          <w:bCs/>
          <w:snapToGrid w:val="0"/>
          <w:sz w:val="24"/>
          <w:szCs w:val="24"/>
          <w:highlight w:val="none"/>
        </w:rPr>
        <w:t>无效的报价，如发现下列情况之一的，作无效报价处理，</w:t>
      </w:r>
      <w:r>
        <w:rPr>
          <w:rFonts w:hint="eastAsia" w:ascii="Times New Roman" w:hAnsi="Times New Roman"/>
          <w:b/>
          <w:bCs/>
          <w:snapToGrid w:val="0"/>
          <w:sz w:val="24"/>
          <w:szCs w:val="24"/>
          <w:highlight w:val="none"/>
          <w:lang w:val="en-US" w:eastAsia="zh-CN"/>
        </w:rPr>
        <w:t>响应</w:t>
      </w:r>
      <w:r>
        <w:rPr>
          <w:rFonts w:hint="eastAsia" w:ascii="Times New Roman" w:hAnsi="Times New Roman"/>
          <w:b/>
          <w:bCs/>
          <w:snapToGrid w:val="0"/>
          <w:sz w:val="24"/>
          <w:szCs w:val="24"/>
          <w:highlight w:val="none"/>
        </w:rPr>
        <w:t xml:space="preserve">将被拒绝： </w:t>
      </w:r>
    </w:p>
    <w:p>
      <w:pPr>
        <w:pStyle w:val="34"/>
        <w:numPr>
          <w:ilvl w:val="2"/>
          <w:numId w:val="7"/>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首次报价（即响应文件填写的报价）超过预算总价的</w:t>
      </w:r>
      <w:r>
        <w:rPr>
          <w:rFonts w:hint="eastAsia" w:ascii="Times New Roman" w:hAnsi="Times New Roman"/>
          <w:snapToGrid w:val="0"/>
          <w:sz w:val="24"/>
          <w:szCs w:val="24"/>
          <w:highlight w:val="none"/>
          <w:lang w:eastAsia="zh-CN"/>
        </w:rPr>
        <w:t>；</w:t>
      </w:r>
    </w:p>
    <w:p>
      <w:pPr>
        <w:pStyle w:val="34"/>
        <w:numPr>
          <w:ilvl w:val="2"/>
          <w:numId w:val="7"/>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报价高于采购预算价的；</w:t>
      </w:r>
    </w:p>
    <w:p>
      <w:pPr>
        <w:pStyle w:val="34"/>
        <w:numPr>
          <w:ilvl w:val="2"/>
          <w:numId w:val="7"/>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报价有重大漏项或重大不合理的（对超出常规、具有特别意义或会引起竞争非议的报价须作出特别说明。如报价低于成本价且供应商无充分理由的）</w:t>
      </w:r>
      <w:r>
        <w:rPr>
          <w:rFonts w:hint="eastAsia" w:ascii="Times New Roman" w:hAnsi="Times New Roman"/>
          <w:snapToGrid w:val="0"/>
          <w:sz w:val="24"/>
          <w:szCs w:val="24"/>
          <w:highlight w:val="none"/>
          <w:lang w:eastAsia="zh-CN"/>
        </w:rPr>
        <w:t>；</w:t>
      </w:r>
    </w:p>
    <w:p>
      <w:pPr>
        <w:pStyle w:val="34"/>
        <w:numPr>
          <w:ilvl w:val="2"/>
          <w:numId w:val="7"/>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报价大写和小写不一致，不接受</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小组更正的</w:t>
      </w:r>
      <w:r>
        <w:rPr>
          <w:rFonts w:hint="eastAsia" w:ascii="Times New Roman" w:hAnsi="Times New Roman"/>
          <w:snapToGrid w:val="0"/>
          <w:sz w:val="24"/>
          <w:szCs w:val="24"/>
          <w:highlight w:val="none"/>
          <w:lang w:eastAsia="zh-CN"/>
        </w:rPr>
        <w:t>；</w:t>
      </w:r>
    </w:p>
    <w:p>
      <w:pPr>
        <w:pStyle w:val="34"/>
        <w:numPr>
          <w:ilvl w:val="2"/>
          <w:numId w:val="7"/>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报价或者响应方案有选择性的；</w:t>
      </w:r>
    </w:p>
    <w:p>
      <w:pPr>
        <w:pStyle w:val="34"/>
        <w:numPr>
          <w:ilvl w:val="2"/>
          <w:numId w:val="7"/>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小组认为报价未实质性响应</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文件要求的其它情况</w:t>
      </w:r>
      <w:r>
        <w:rPr>
          <w:rFonts w:hint="eastAsia" w:ascii="Times New Roman" w:hAnsi="Times New Roman"/>
          <w:snapToGrid w:val="0"/>
          <w:sz w:val="24"/>
          <w:szCs w:val="24"/>
          <w:highlight w:val="none"/>
          <w:lang w:eastAsia="zh-CN"/>
        </w:rPr>
        <w:t>。</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在</w:t>
      </w:r>
      <w:r>
        <w:rPr>
          <w:rFonts w:hint="eastAsia" w:ascii="Times New Roman" w:hAnsi="Times New Roman"/>
          <w:snapToGrid w:val="0"/>
          <w:sz w:val="24"/>
          <w:szCs w:val="24"/>
          <w:highlight w:val="none"/>
          <w:lang w:val="en-US" w:eastAsia="zh-CN"/>
        </w:rPr>
        <w:t>响应</w:t>
      </w:r>
      <w:r>
        <w:rPr>
          <w:rFonts w:hint="eastAsia" w:ascii="Times New Roman" w:hAnsi="Times New Roman"/>
          <w:snapToGrid w:val="0"/>
          <w:sz w:val="24"/>
          <w:szCs w:val="24"/>
          <w:highlight w:val="none"/>
        </w:rPr>
        <w:t xml:space="preserve">过程中，供应商提交的澄清文件和报价文件，由供应商法人代表或授权代表签署后生效，供应商应受其约束。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综合评分方法 </w:t>
      </w:r>
    </w:p>
    <w:p>
      <w:pPr>
        <w:pStyle w:val="11"/>
        <w:tabs>
          <w:tab w:val="left" w:pos="850"/>
        </w:tabs>
        <w:spacing w:line="500" w:lineRule="exact"/>
        <w:ind w:firstLine="480" w:firstLineChars="200"/>
        <w:rPr>
          <w:highlight w:val="none"/>
        </w:rPr>
      </w:pPr>
      <w:r>
        <w:rPr>
          <w:rFonts w:hint="eastAsia"/>
          <w:highlight w:val="none"/>
        </w:rPr>
        <w:t>本次评审采用</w:t>
      </w:r>
      <w:r>
        <w:rPr>
          <w:rFonts w:hint="eastAsia"/>
          <w:highlight w:val="none"/>
          <w:u w:val="single"/>
        </w:rPr>
        <w:t>综合评分</w:t>
      </w:r>
      <w:r>
        <w:rPr>
          <w:rFonts w:hint="eastAsia"/>
          <w:spacing w:val="-11"/>
          <w:highlight w:val="none"/>
        </w:rPr>
        <w:t>方法，即通过资格性和符合性审查的有效供应商并提交最终报价前</w:t>
      </w:r>
      <w:r>
        <w:rPr>
          <w:rFonts w:hint="eastAsia"/>
          <w:spacing w:val="-10"/>
          <w:highlight w:val="none"/>
        </w:rPr>
        <w:t>提下，按照</w:t>
      </w:r>
      <w:r>
        <w:rPr>
          <w:rFonts w:hint="eastAsia"/>
          <w:spacing w:val="-10"/>
          <w:highlight w:val="none"/>
          <w:lang w:val="en-US" w:eastAsia="zh-CN"/>
        </w:rPr>
        <w:t>采购</w:t>
      </w:r>
      <w:r>
        <w:rPr>
          <w:rFonts w:hint="eastAsia"/>
          <w:spacing w:val="-10"/>
          <w:highlight w:val="none"/>
        </w:rPr>
        <w:t>文件中规定的各项因素进行综合评审后，以评审总得分最高的供应商作为成交</w:t>
      </w:r>
      <w:r>
        <w:rPr>
          <w:rFonts w:hint="eastAsia"/>
          <w:highlight w:val="none"/>
        </w:rPr>
        <w:t xml:space="preserve">候选供应商或成交供应商的评审方法。 </w:t>
      </w:r>
    </w:p>
    <w:p>
      <w:pPr>
        <w:pStyle w:val="34"/>
        <w:numPr>
          <w:ilvl w:val="0"/>
          <w:numId w:val="2"/>
        </w:numPr>
        <w:tabs>
          <w:tab w:val="left" w:pos="850"/>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评审步骤 </w:t>
      </w:r>
    </w:p>
    <w:p>
      <w:pPr>
        <w:pStyle w:val="34"/>
        <w:numPr>
          <w:ilvl w:val="2"/>
          <w:numId w:val="8"/>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技术评价及商务评价 ，</w:t>
      </w:r>
      <w:r>
        <w:rPr>
          <w:rFonts w:hint="eastAsia" w:ascii="Times New Roman" w:hAnsi="Times New Roman"/>
          <w:snapToGrid w:val="0"/>
          <w:sz w:val="24"/>
          <w:szCs w:val="24"/>
          <w:highlight w:val="none"/>
          <w:lang w:val="en-US" w:eastAsia="zh-CN"/>
        </w:rPr>
        <w:t>评审</w:t>
      </w:r>
      <w:r>
        <w:rPr>
          <w:rFonts w:hint="eastAsia" w:ascii="Times New Roman" w:hAnsi="Times New Roman"/>
          <w:snapToGrid w:val="0"/>
          <w:sz w:val="24"/>
          <w:szCs w:val="24"/>
          <w:highlight w:val="none"/>
        </w:rPr>
        <w:t>小组将依据</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 xml:space="preserve">文件第二部分的“采购项目内容”逐条进行评审； </w:t>
      </w:r>
    </w:p>
    <w:p>
      <w:pPr>
        <w:pStyle w:val="34"/>
        <w:numPr>
          <w:ilvl w:val="2"/>
          <w:numId w:val="8"/>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价格评估； </w:t>
      </w:r>
    </w:p>
    <w:p>
      <w:pPr>
        <w:pStyle w:val="34"/>
        <w:numPr>
          <w:ilvl w:val="2"/>
          <w:numId w:val="8"/>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综合比较与评价； </w:t>
      </w:r>
    </w:p>
    <w:p>
      <w:pPr>
        <w:pStyle w:val="34"/>
        <w:numPr>
          <w:ilvl w:val="2"/>
          <w:numId w:val="8"/>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推荐成交候选供应商名单。 </w:t>
      </w:r>
    </w:p>
    <w:p>
      <w:pPr>
        <w:pStyle w:val="34"/>
        <w:numPr>
          <w:ilvl w:val="1"/>
          <w:numId w:val="2"/>
        </w:numPr>
        <w:tabs>
          <w:tab w:val="left" w:pos="850"/>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 xml:space="preserve">评审标准 </w:t>
      </w:r>
    </w:p>
    <w:p>
      <w:pPr>
        <w:pStyle w:val="11"/>
        <w:tabs>
          <w:tab w:val="left" w:pos="850"/>
        </w:tabs>
        <w:spacing w:line="500" w:lineRule="exact"/>
        <w:ind w:firstLine="476" w:firstLineChars="200"/>
        <w:rPr>
          <w:highlight w:val="none"/>
        </w:rPr>
      </w:pPr>
      <w:r>
        <w:rPr>
          <w:rFonts w:hint="eastAsia"/>
          <w:spacing w:val="-1"/>
          <w:highlight w:val="none"/>
        </w:rPr>
        <w:t>本次评审采用综合评分方法，评审以</w:t>
      </w:r>
      <w:r>
        <w:rPr>
          <w:rFonts w:hint="eastAsia"/>
          <w:spacing w:val="-1"/>
          <w:highlight w:val="none"/>
          <w:lang w:val="en-US" w:eastAsia="zh-CN"/>
        </w:rPr>
        <w:t>采购</w:t>
      </w:r>
      <w:r>
        <w:rPr>
          <w:rFonts w:hint="eastAsia"/>
          <w:spacing w:val="-1"/>
          <w:highlight w:val="none"/>
        </w:rPr>
        <w:t>文件规定的条件为原则，最低报价不作为成交的唯</w:t>
      </w:r>
      <w:r>
        <w:rPr>
          <w:rFonts w:hint="eastAsia"/>
          <w:highlight w:val="none"/>
        </w:rPr>
        <w:t xml:space="preserve">一依据。本项目的评分权重及评审因素如下： </w:t>
      </w:r>
    </w:p>
    <w:p>
      <w:pPr>
        <w:pStyle w:val="11"/>
        <w:tabs>
          <w:tab w:val="left" w:pos="850"/>
        </w:tabs>
        <w:kinsoku w:val="0"/>
        <w:overflowPunct w:val="0"/>
        <w:spacing w:line="500" w:lineRule="exact"/>
        <w:ind w:firstLine="480" w:firstLineChars="200"/>
        <w:rPr>
          <w:highlight w:val="none"/>
        </w:rPr>
      </w:pPr>
      <w:r>
        <w:rPr>
          <w:rFonts w:hint="eastAsia"/>
          <w:highlight w:val="none"/>
        </w:rPr>
        <w:t>评分分值（权重）分配如下：</w:t>
      </w:r>
    </w:p>
    <w:tbl>
      <w:tblPr>
        <w:tblStyle w:val="25"/>
        <w:tblpPr w:leftFromText="180" w:rightFromText="180" w:vertAnchor="text" w:horzAnchor="page" w:tblpXSpec="center" w:tblpY="89"/>
        <w:tblOverlap w:val="never"/>
        <w:tblW w:w="8859" w:type="dxa"/>
        <w:jc w:val="center"/>
        <w:tblLayout w:type="fixed"/>
        <w:tblCellMar>
          <w:top w:w="0" w:type="dxa"/>
          <w:left w:w="0" w:type="dxa"/>
          <w:bottom w:w="0" w:type="dxa"/>
          <w:right w:w="0" w:type="dxa"/>
        </w:tblCellMar>
      </w:tblPr>
      <w:tblGrid>
        <w:gridCol w:w="2785"/>
        <w:gridCol w:w="2767"/>
        <w:gridCol w:w="3307"/>
      </w:tblGrid>
      <w:tr>
        <w:tblPrEx>
          <w:tblCellMar>
            <w:top w:w="0" w:type="dxa"/>
            <w:left w:w="0" w:type="dxa"/>
            <w:bottom w:w="0" w:type="dxa"/>
            <w:right w:w="0" w:type="dxa"/>
          </w:tblCellMar>
        </w:tblPrEx>
        <w:trPr>
          <w:trHeight w:val="620" w:hRule="exact"/>
          <w:jc w:val="center"/>
        </w:trPr>
        <w:tc>
          <w:tcPr>
            <w:tcW w:w="2785" w:type="dxa"/>
            <w:tcBorders>
              <w:top w:val="single" w:color="111111" w:sz="4" w:space="0"/>
              <w:left w:val="single" w:color="111111" w:sz="4" w:space="0"/>
              <w:bottom w:val="single" w:color="111111" w:sz="4" w:space="0"/>
              <w:right w:val="single" w:color="111111" w:sz="4" w:space="0"/>
            </w:tcBorders>
          </w:tcPr>
          <w:p>
            <w:pPr>
              <w:pStyle w:val="35"/>
              <w:tabs>
                <w:tab w:val="left" w:pos="426"/>
              </w:tabs>
              <w:kinsoku w:val="0"/>
              <w:overflowPunct w:val="0"/>
              <w:spacing w:before="2" w:line="100" w:lineRule="exact"/>
              <w:jc w:val="center"/>
              <w:rPr>
                <w:highlight w:val="none"/>
              </w:rPr>
            </w:pPr>
          </w:p>
          <w:p>
            <w:pPr>
              <w:pStyle w:val="35"/>
              <w:tabs>
                <w:tab w:val="left" w:pos="426"/>
              </w:tabs>
              <w:kinsoku w:val="0"/>
              <w:overflowPunct w:val="0"/>
              <w:jc w:val="center"/>
              <w:rPr>
                <w:highlight w:val="none"/>
              </w:rPr>
            </w:pPr>
            <w:r>
              <w:rPr>
                <w:rFonts w:hint="eastAsia"/>
                <w:highlight w:val="none"/>
              </w:rPr>
              <w:t>评分项目</w:t>
            </w:r>
          </w:p>
        </w:tc>
        <w:tc>
          <w:tcPr>
            <w:tcW w:w="2767" w:type="dxa"/>
            <w:tcBorders>
              <w:top w:val="single" w:color="111111" w:sz="4" w:space="0"/>
              <w:left w:val="single" w:color="111111" w:sz="4" w:space="0"/>
              <w:bottom w:val="single" w:color="111111" w:sz="4" w:space="0"/>
              <w:right w:val="single" w:color="111111" w:sz="4" w:space="0"/>
            </w:tcBorders>
          </w:tcPr>
          <w:p>
            <w:pPr>
              <w:pStyle w:val="35"/>
              <w:tabs>
                <w:tab w:val="left" w:pos="426"/>
              </w:tabs>
              <w:kinsoku w:val="0"/>
              <w:overflowPunct w:val="0"/>
              <w:spacing w:before="2" w:line="100" w:lineRule="exact"/>
              <w:jc w:val="center"/>
              <w:rPr>
                <w:highlight w:val="none"/>
              </w:rPr>
            </w:pPr>
          </w:p>
          <w:p>
            <w:pPr>
              <w:pStyle w:val="35"/>
              <w:tabs>
                <w:tab w:val="left" w:pos="426"/>
              </w:tabs>
              <w:kinsoku w:val="0"/>
              <w:overflowPunct w:val="0"/>
              <w:jc w:val="center"/>
              <w:rPr>
                <w:highlight w:val="none"/>
              </w:rPr>
            </w:pPr>
            <w:r>
              <w:rPr>
                <w:rFonts w:hint="eastAsia"/>
                <w:highlight w:val="none"/>
              </w:rPr>
              <w:t>技术</w:t>
            </w:r>
            <w:r>
              <w:rPr>
                <w:rFonts w:hint="eastAsia"/>
                <w:highlight w:val="none"/>
                <w:lang w:eastAsia="zh-CN"/>
              </w:rPr>
              <w:t>商务</w:t>
            </w:r>
            <w:r>
              <w:rPr>
                <w:rFonts w:hint="eastAsia"/>
                <w:highlight w:val="none"/>
              </w:rPr>
              <w:t>评分</w:t>
            </w:r>
          </w:p>
        </w:tc>
        <w:tc>
          <w:tcPr>
            <w:tcW w:w="3307" w:type="dxa"/>
            <w:tcBorders>
              <w:top w:val="single" w:color="111111" w:sz="4" w:space="0"/>
              <w:left w:val="single" w:color="111111" w:sz="4" w:space="0"/>
              <w:bottom w:val="single" w:color="111111" w:sz="4" w:space="0"/>
              <w:right w:val="single" w:color="111111" w:sz="4" w:space="0"/>
            </w:tcBorders>
          </w:tcPr>
          <w:p>
            <w:pPr>
              <w:pStyle w:val="35"/>
              <w:tabs>
                <w:tab w:val="left" w:pos="426"/>
              </w:tabs>
              <w:kinsoku w:val="0"/>
              <w:overflowPunct w:val="0"/>
              <w:spacing w:before="2" w:line="100" w:lineRule="exact"/>
              <w:jc w:val="center"/>
              <w:rPr>
                <w:highlight w:val="none"/>
              </w:rPr>
            </w:pPr>
          </w:p>
          <w:p>
            <w:pPr>
              <w:pStyle w:val="35"/>
              <w:tabs>
                <w:tab w:val="left" w:pos="426"/>
              </w:tabs>
              <w:kinsoku w:val="0"/>
              <w:overflowPunct w:val="0"/>
              <w:jc w:val="center"/>
              <w:rPr>
                <w:highlight w:val="none"/>
              </w:rPr>
            </w:pPr>
            <w:r>
              <w:rPr>
                <w:rFonts w:hint="eastAsia"/>
                <w:highlight w:val="none"/>
              </w:rPr>
              <w:t>价格评分</w:t>
            </w:r>
          </w:p>
        </w:tc>
      </w:tr>
      <w:tr>
        <w:tblPrEx>
          <w:tblCellMar>
            <w:top w:w="0" w:type="dxa"/>
            <w:left w:w="0" w:type="dxa"/>
            <w:bottom w:w="0" w:type="dxa"/>
            <w:right w:w="0" w:type="dxa"/>
          </w:tblCellMar>
        </w:tblPrEx>
        <w:trPr>
          <w:trHeight w:val="630" w:hRule="exact"/>
          <w:jc w:val="center"/>
        </w:trPr>
        <w:tc>
          <w:tcPr>
            <w:tcW w:w="2785" w:type="dxa"/>
            <w:tcBorders>
              <w:top w:val="single" w:color="111111" w:sz="4" w:space="0"/>
              <w:left w:val="single" w:color="111111" w:sz="4" w:space="0"/>
              <w:bottom w:val="single" w:color="111111" w:sz="4" w:space="0"/>
              <w:right w:val="single" w:color="111111" w:sz="4" w:space="0"/>
            </w:tcBorders>
          </w:tcPr>
          <w:p>
            <w:pPr>
              <w:pStyle w:val="35"/>
              <w:tabs>
                <w:tab w:val="left" w:pos="426"/>
              </w:tabs>
              <w:kinsoku w:val="0"/>
              <w:overflowPunct w:val="0"/>
              <w:spacing w:before="1" w:line="100" w:lineRule="exact"/>
              <w:rPr>
                <w:highlight w:val="none"/>
              </w:rPr>
            </w:pPr>
          </w:p>
          <w:p>
            <w:pPr>
              <w:pStyle w:val="35"/>
              <w:tabs>
                <w:tab w:val="left" w:pos="426"/>
              </w:tabs>
              <w:kinsoku w:val="0"/>
              <w:overflowPunct w:val="0"/>
              <w:jc w:val="center"/>
              <w:rPr>
                <w:highlight w:val="none"/>
              </w:rPr>
            </w:pPr>
            <w:r>
              <w:rPr>
                <w:rFonts w:hint="eastAsia"/>
                <w:highlight w:val="none"/>
              </w:rPr>
              <w:t>评分分值（权重）</w:t>
            </w:r>
          </w:p>
        </w:tc>
        <w:tc>
          <w:tcPr>
            <w:tcW w:w="2767" w:type="dxa"/>
            <w:tcBorders>
              <w:top w:val="single" w:color="111111" w:sz="4" w:space="0"/>
              <w:left w:val="single" w:color="111111" w:sz="4" w:space="0"/>
              <w:bottom w:val="single" w:color="111111" w:sz="4" w:space="0"/>
              <w:right w:val="single" w:color="111111" w:sz="4" w:space="0"/>
            </w:tcBorders>
          </w:tcPr>
          <w:p>
            <w:pPr>
              <w:pStyle w:val="35"/>
              <w:tabs>
                <w:tab w:val="left" w:pos="426"/>
              </w:tabs>
              <w:kinsoku w:val="0"/>
              <w:overflowPunct w:val="0"/>
              <w:spacing w:before="9" w:line="170" w:lineRule="exact"/>
              <w:rPr>
                <w:highlight w:val="none"/>
              </w:rPr>
            </w:pPr>
          </w:p>
          <w:p>
            <w:pPr>
              <w:pStyle w:val="35"/>
              <w:tabs>
                <w:tab w:val="left" w:pos="426"/>
              </w:tabs>
              <w:kinsoku w:val="0"/>
              <w:overflowPunct w:val="0"/>
              <w:jc w:val="center"/>
              <w:rPr>
                <w:highlight w:val="none"/>
                <w:lang w:eastAsia="zh-CN"/>
              </w:rPr>
            </w:pPr>
            <w:r>
              <w:rPr>
                <w:rFonts w:hint="eastAsia"/>
                <w:bCs/>
                <w:highlight w:val="none"/>
                <w:lang w:val="en-US" w:eastAsia="zh-CN"/>
              </w:rPr>
              <w:t>75</w:t>
            </w:r>
            <w:r>
              <w:rPr>
                <w:rFonts w:hint="eastAsia"/>
                <w:bCs/>
                <w:highlight w:val="none"/>
                <w:lang w:eastAsia="zh-CN"/>
              </w:rPr>
              <w:t>分</w:t>
            </w:r>
          </w:p>
        </w:tc>
        <w:tc>
          <w:tcPr>
            <w:tcW w:w="3307" w:type="dxa"/>
            <w:tcBorders>
              <w:top w:val="single" w:color="111111" w:sz="4" w:space="0"/>
              <w:left w:val="single" w:color="111111" w:sz="4" w:space="0"/>
              <w:bottom w:val="single" w:color="111111" w:sz="4" w:space="0"/>
              <w:right w:val="single" w:color="111111" w:sz="4" w:space="0"/>
            </w:tcBorders>
          </w:tcPr>
          <w:p>
            <w:pPr>
              <w:pStyle w:val="35"/>
              <w:tabs>
                <w:tab w:val="left" w:pos="426"/>
              </w:tabs>
              <w:kinsoku w:val="0"/>
              <w:overflowPunct w:val="0"/>
              <w:spacing w:before="9" w:line="170" w:lineRule="exact"/>
              <w:rPr>
                <w:highlight w:val="none"/>
              </w:rPr>
            </w:pPr>
          </w:p>
          <w:p>
            <w:pPr>
              <w:pStyle w:val="35"/>
              <w:tabs>
                <w:tab w:val="left" w:pos="426"/>
              </w:tabs>
              <w:kinsoku w:val="0"/>
              <w:overflowPunct w:val="0"/>
              <w:jc w:val="center"/>
              <w:rPr>
                <w:highlight w:val="none"/>
                <w:lang w:eastAsia="zh-CN"/>
              </w:rPr>
            </w:pPr>
            <w:r>
              <w:rPr>
                <w:rFonts w:hint="eastAsia"/>
                <w:bCs/>
                <w:highlight w:val="none"/>
                <w:lang w:val="en-US" w:eastAsia="zh-CN"/>
              </w:rPr>
              <w:t>25</w:t>
            </w:r>
            <w:r>
              <w:rPr>
                <w:rFonts w:hint="eastAsia"/>
                <w:bCs/>
                <w:highlight w:val="none"/>
                <w:lang w:eastAsia="zh-CN"/>
              </w:rPr>
              <w:t>分</w:t>
            </w:r>
          </w:p>
        </w:tc>
      </w:tr>
    </w:tbl>
    <w:p>
      <w:pPr>
        <w:pStyle w:val="34"/>
        <w:tabs>
          <w:tab w:val="left" w:pos="1202"/>
        </w:tabs>
        <w:spacing w:before="1" w:line="364" w:lineRule="auto"/>
        <w:ind w:left="0" w:right="383" w:firstLine="0"/>
        <w:jc w:val="center"/>
        <w:rPr>
          <w:spacing w:val="-1"/>
          <w:sz w:val="24"/>
          <w:highlight w:val="none"/>
        </w:rPr>
        <w:sectPr>
          <w:pgSz w:w="11910" w:h="16840"/>
          <w:pgMar w:top="1440" w:right="1080" w:bottom="1440" w:left="1080" w:header="0" w:footer="995" w:gutter="0"/>
          <w:cols w:space="720" w:num="1"/>
        </w:sectPr>
      </w:pPr>
    </w:p>
    <w:p>
      <w:pPr>
        <w:spacing w:line="360" w:lineRule="auto"/>
        <w:jc w:val="both"/>
        <w:rPr>
          <w:bCs/>
          <w:sz w:val="24"/>
          <w:szCs w:val="24"/>
          <w:highlight w:val="none"/>
        </w:rPr>
      </w:pPr>
      <w:r>
        <w:rPr>
          <w:rFonts w:hint="eastAsia"/>
          <w:bCs/>
          <w:sz w:val="24"/>
          <w:szCs w:val="24"/>
          <w:highlight w:val="none"/>
          <w:lang w:val="en-US" w:eastAsia="zh-CN"/>
        </w:rPr>
        <w:t>附表一：</w:t>
      </w:r>
      <w:r>
        <w:rPr>
          <w:rFonts w:hint="eastAsia"/>
          <w:bCs/>
          <w:sz w:val="24"/>
          <w:szCs w:val="24"/>
          <w:highlight w:val="none"/>
        </w:rPr>
        <w:t>资格性/符合性</w:t>
      </w:r>
      <w:r>
        <w:rPr>
          <w:rFonts w:hint="eastAsia"/>
          <w:bCs/>
          <w:sz w:val="24"/>
          <w:szCs w:val="24"/>
          <w:highlight w:val="none"/>
          <w:lang w:eastAsia="zh-CN"/>
        </w:rPr>
        <w:t>审</w:t>
      </w:r>
      <w:r>
        <w:rPr>
          <w:rFonts w:hint="eastAsia"/>
          <w:bCs/>
          <w:sz w:val="24"/>
          <w:szCs w:val="24"/>
          <w:highlight w:val="none"/>
        </w:rPr>
        <w:t>查表</w:t>
      </w:r>
    </w:p>
    <w:p>
      <w:pPr>
        <w:pStyle w:val="24"/>
        <w:ind w:firstLine="482"/>
        <w:jc w:val="center"/>
        <w:rPr>
          <w:highlight w:val="none"/>
        </w:rPr>
      </w:pPr>
      <w:r>
        <w:rPr>
          <w:rFonts w:hint="eastAsia" w:ascii="宋体" w:eastAsia="宋体"/>
          <w:b/>
          <w:spacing w:val="0"/>
          <w:szCs w:val="24"/>
          <w:highlight w:val="none"/>
        </w:rPr>
        <w:t>资格性/符合性</w:t>
      </w:r>
      <w:r>
        <w:rPr>
          <w:rFonts w:hint="eastAsia" w:ascii="宋体" w:eastAsia="宋体"/>
          <w:b/>
          <w:spacing w:val="0"/>
          <w:szCs w:val="24"/>
          <w:highlight w:val="none"/>
          <w:lang w:eastAsia="zh-CN"/>
        </w:rPr>
        <w:t>审</w:t>
      </w:r>
      <w:r>
        <w:rPr>
          <w:rFonts w:hint="eastAsia" w:ascii="宋体" w:eastAsia="宋体"/>
          <w:b/>
          <w:spacing w:val="0"/>
          <w:szCs w:val="24"/>
          <w:highlight w:val="none"/>
        </w:rPr>
        <w:t>查表</w:t>
      </w:r>
    </w:p>
    <w:tbl>
      <w:tblPr>
        <w:tblStyle w:val="25"/>
        <w:tblW w:w="101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66"/>
        <w:gridCol w:w="8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blHeader/>
          <w:jc w:val="center"/>
        </w:trPr>
        <w:tc>
          <w:tcPr>
            <w:tcW w:w="1493" w:type="dxa"/>
            <w:gridSpan w:val="2"/>
          </w:tcPr>
          <w:p>
            <w:pPr>
              <w:pStyle w:val="35"/>
              <w:spacing w:line="400" w:lineRule="exact"/>
              <w:jc w:val="center"/>
              <w:rPr>
                <w:b/>
                <w:sz w:val="21"/>
                <w:szCs w:val="21"/>
                <w:highlight w:val="none"/>
              </w:rPr>
            </w:pPr>
            <w:r>
              <w:rPr>
                <w:rFonts w:hint="eastAsia"/>
                <w:b/>
                <w:sz w:val="21"/>
                <w:szCs w:val="21"/>
                <w:highlight w:val="none"/>
              </w:rPr>
              <w:t>评审内容</w:t>
            </w:r>
          </w:p>
        </w:tc>
        <w:tc>
          <w:tcPr>
            <w:tcW w:w="8618" w:type="dxa"/>
          </w:tcPr>
          <w:p>
            <w:pPr>
              <w:pStyle w:val="35"/>
              <w:spacing w:line="400" w:lineRule="exact"/>
              <w:ind w:left="2058" w:right="2115"/>
              <w:jc w:val="center"/>
              <w:rPr>
                <w:b/>
                <w:sz w:val="21"/>
                <w:szCs w:val="21"/>
                <w:highlight w:val="none"/>
              </w:rPr>
            </w:pPr>
            <w:r>
              <w:rPr>
                <w:rFonts w:hint="eastAsia"/>
                <w:b/>
                <w:sz w:val="21"/>
                <w:szCs w:val="21"/>
                <w:highlight w:val="none"/>
              </w:rPr>
              <w:t>采购文件要求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jc w:val="center"/>
        </w:trPr>
        <w:tc>
          <w:tcPr>
            <w:tcW w:w="1493" w:type="dxa"/>
            <w:gridSpan w:val="2"/>
            <w:vMerge w:val="restart"/>
          </w:tcPr>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jc w:val="center"/>
              <w:rPr>
                <w:b/>
                <w:sz w:val="21"/>
                <w:szCs w:val="21"/>
                <w:highlight w:val="none"/>
              </w:rPr>
            </w:pPr>
          </w:p>
          <w:p>
            <w:pPr>
              <w:pStyle w:val="35"/>
              <w:spacing w:line="400" w:lineRule="exact"/>
              <w:ind w:left="30" w:right="22"/>
              <w:jc w:val="center"/>
              <w:rPr>
                <w:sz w:val="21"/>
                <w:szCs w:val="21"/>
                <w:highlight w:val="none"/>
              </w:rPr>
            </w:pPr>
            <w:r>
              <w:rPr>
                <w:rFonts w:hint="eastAsia"/>
                <w:sz w:val="21"/>
                <w:szCs w:val="21"/>
                <w:highlight w:val="none"/>
              </w:rPr>
              <w:t>资格性检查</w:t>
            </w: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rPr>
                <w:b/>
                <w:sz w:val="21"/>
                <w:szCs w:val="21"/>
                <w:highlight w:val="none"/>
              </w:rPr>
            </w:pPr>
          </w:p>
          <w:p>
            <w:pPr>
              <w:pStyle w:val="35"/>
              <w:spacing w:line="400" w:lineRule="exact"/>
              <w:ind w:left="629" w:right="33" w:hanging="540"/>
              <w:rPr>
                <w:sz w:val="21"/>
                <w:szCs w:val="21"/>
                <w:highlight w:val="none"/>
              </w:rPr>
            </w:pPr>
          </w:p>
        </w:tc>
        <w:tc>
          <w:tcPr>
            <w:tcW w:w="8618" w:type="dxa"/>
          </w:tcPr>
          <w:p>
            <w:pPr>
              <w:pStyle w:val="11"/>
              <w:kinsoku w:val="0"/>
              <w:overflowPunct w:val="0"/>
              <w:spacing w:before="29" w:line="390" w:lineRule="exact"/>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（1）</w:t>
            </w:r>
            <w:r>
              <w:rPr>
                <w:rFonts w:hint="eastAsia" w:ascii="宋体" w:hAnsi="宋体" w:eastAsia="宋体" w:cs="宋体"/>
                <w:sz w:val="24"/>
                <w:szCs w:val="24"/>
                <w:highlight w:val="none"/>
                <w:lang w:val="en-US" w:eastAsia="zh-CN" w:bidi="ja-JP"/>
              </w:rPr>
              <w:t>投标人应当具备《中华人民共和国政府采购法》第二十二条规定的条件</w:t>
            </w:r>
            <w:r>
              <w:rPr>
                <w:rFonts w:hint="eastAsia" w:cs="宋体"/>
                <w:sz w:val="24"/>
                <w:szCs w:val="24"/>
                <w:highlight w:val="none"/>
                <w:lang w:val="en-US" w:eastAsia="zh-CN" w:bidi="ja-JP"/>
              </w:rPr>
              <w:t>：</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①</w:t>
            </w:r>
            <w:r>
              <w:rPr>
                <w:rFonts w:hint="eastAsia" w:ascii="宋体" w:hAnsi="宋体" w:eastAsia="宋体" w:cs="宋体"/>
                <w:sz w:val="24"/>
                <w:szCs w:val="24"/>
                <w:highlight w:val="none"/>
                <w:lang w:val="en-US" w:eastAsia="zh-CN" w:bidi="ja-JP"/>
              </w:rPr>
              <w:t>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②</w:t>
            </w:r>
            <w:r>
              <w:rPr>
                <w:rFonts w:hint="eastAsia" w:ascii="宋体" w:hAnsi="宋体" w:eastAsia="宋体" w:cs="宋体"/>
                <w:sz w:val="24"/>
                <w:szCs w:val="24"/>
                <w:highlight w:val="none"/>
                <w:lang w:val="en-US" w:eastAsia="zh-CN" w:bidi="ja-JP"/>
              </w:rPr>
              <w:t>有依法缴纳税收和社会保障资金的良好记录：提供投标截止日前3个月依法缴纳税收和社会保障资金的相关材料。如依法免税或不需要缴纳社会保障资金的，提供相应证明材料。</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③</w:t>
            </w:r>
            <w:r>
              <w:rPr>
                <w:rFonts w:hint="eastAsia" w:ascii="宋体" w:hAnsi="宋体" w:eastAsia="宋体" w:cs="宋体"/>
                <w:sz w:val="24"/>
                <w:szCs w:val="24"/>
                <w:highlight w:val="none"/>
                <w:lang w:val="en-US" w:eastAsia="zh-CN" w:bidi="ja-JP"/>
              </w:rPr>
              <w:t>具有良好的商业信誉和健全的财务会计制度：供应商必须具有良好的商业信誉和健全的财务会计制度（提供2024年度财务状况报告或基本开户行出具的资信证明）。</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④</w:t>
            </w:r>
            <w:r>
              <w:rPr>
                <w:rFonts w:hint="eastAsia" w:ascii="宋体" w:hAnsi="宋体" w:eastAsia="宋体" w:cs="宋体"/>
                <w:sz w:val="24"/>
                <w:szCs w:val="24"/>
                <w:highlight w:val="none"/>
                <w:lang w:val="en-US" w:eastAsia="zh-CN" w:bidi="ja-JP"/>
              </w:rPr>
              <w:t>履行合同所必需的设备和专业技术能力：</w:t>
            </w:r>
            <w:r>
              <w:rPr>
                <w:rFonts w:hint="eastAsia" w:cs="宋体"/>
                <w:sz w:val="24"/>
                <w:szCs w:val="24"/>
                <w:highlight w:val="none"/>
                <w:lang w:val="en-US" w:eastAsia="zh-CN" w:bidi="ja-JP"/>
              </w:rPr>
              <w:t>须在</w:t>
            </w:r>
            <w:r>
              <w:rPr>
                <w:rFonts w:hint="eastAsia" w:ascii="宋体" w:hAnsi="宋体" w:eastAsia="宋体" w:cs="宋体"/>
                <w:sz w:val="24"/>
                <w:szCs w:val="24"/>
                <w:highlight w:val="none"/>
                <w:lang w:val="en-US" w:eastAsia="zh-CN" w:bidi="ja-JP"/>
              </w:rPr>
              <w:t>投标（响应）文件</w:t>
            </w:r>
            <w:r>
              <w:rPr>
                <w:rFonts w:hint="eastAsia" w:cs="宋体"/>
                <w:sz w:val="24"/>
                <w:szCs w:val="24"/>
                <w:highlight w:val="none"/>
                <w:lang w:val="en-US" w:eastAsia="zh-CN" w:bidi="ja-JP"/>
              </w:rPr>
              <w:t>中</w:t>
            </w:r>
            <w:r>
              <w:rPr>
                <w:rFonts w:hint="eastAsia" w:ascii="宋体" w:hAnsi="宋体" w:eastAsia="宋体" w:cs="宋体"/>
                <w:sz w:val="24"/>
                <w:szCs w:val="24"/>
                <w:highlight w:val="none"/>
                <w:lang w:val="en-US" w:eastAsia="zh-CN" w:bidi="ja-JP"/>
              </w:rPr>
              <w:t>填报设备及专业技术能力情况。</w:t>
            </w:r>
          </w:p>
          <w:p>
            <w:pPr>
              <w:pStyle w:val="11"/>
              <w:kinsoku w:val="0"/>
              <w:overflowPunct w:val="0"/>
              <w:spacing w:before="29" w:line="390" w:lineRule="exact"/>
              <w:ind w:firstLine="480" w:firstLineChars="200"/>
              <w:jc w:val="both"/>
              <w:rPr>
                <w:rFonts w:hint="eastAsia" w:ascii="宋体" w:hAnsi="宋体" w:eastAsia="宋体" w:cs="宋体"/>
                <w:sz w:val="24"/>
                <w:szCs w:val="24"/>
                <w:highlight w:val="none"/>
                <w:lang w:val="en-US" w:eastAsia="zh-CN" w:bidi="ja-JP"/>
              </w:rPr>
            </w:pPr>
            <w:r>
              <w:rPr>
                <w:rFonts w:hint="eastAsia" w:cs="宋体"/>
                <w:sz w:val="24"/>
                <w:szCs w:val="24"/>
                <w:highlight w:val="none"/>
                <w:lang w:val="en-US" w:eastAsia="zh-CN" w:bidi="ja-JP"/>
              </w:rPr>
              <w:t>⑤</w:t>
            </w:r>
            <w:r>
              <w:rPr>
                <w:rFonts w:hint="eastAsia" w:ascii="宋体" w:hAnsi="宋体" w:eastAsia="宋体" w:cs="宋体"/>
                <w:sz w:val="24"/>
                <w:szCs w:val="24"/>
                <w:highlight w:val="none"/>
                <w:lang w:val="en-US" w:eastAsia="zh-CN" w:bidi="ja-JP"/>
              </w:rPr>
              <w:t>参加采购活动前3年内，在经营活动中没有重大违法记录：</w:t>
            </w:r>
            <w:r>
              <w:rPr>
                <w:rFonts w:hint="eastAsia" w:cs="宋体"/>
                <w:sz w:val="24"/>
                <w:szCs w:val="24"/>
                <w:highlight w:val="none"/>
                <w:lang w:val="en-US" w:eastAsia="zh-CN" w:bidi="ja-JP"/>
              </w:rPr>
              <w:t>编辑</w:t>
            </w:r>
            <w:r>
              <w:rPr>
                <w:rFonts w:hint="eastAsia" w:ascii="宋体" w:hAnsi="宋体" w:eastAsia="宋体" w:cs="宋体"/>
                <w:sz w:val="24"/>
                <w:szCs w:val="24"/>
                <w:highlight w:val="none"/>
                <w:lang w:val="en-US" w:eastAsia="zh-CN" w:bidi="ja-JP"/>
              </w:rPr>
              <w:t>承诺函承诺</w:t>
            </w:r>
            <w:r>
              <w:rPr>
                <w:rFonts w:hint="eastAsia" w:cs="宋体"/>
                <w:sz w:val="24"/>
                <w:szCs w:val="24"/>
                <w:highlight w:val="none"/>
                <w:lang w:val="en-US" w:eastAsia="zh-CN" w:bidi="ja-JP"/>
              </w:rPr>
              <w:t>相关</w:t>
            </w:r>
            <w:r>
              <w:rPr>
                <w:rFonts w:hint="eastAsia" w:ascii="宋体" w:hAnsi="宋体" w:eastAsia="宋体" w:cs="宋体"/>
                <w:sz w:val="24"/>
                <w:szCs w:val="24"/>
                <w:highlight w:val="none"/>
                <w:lang w:val="en-US" w:eastAsia="zh-CN" w:bidi="ja-JP"/>
              </w:rPr>
              <w:t>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1493" w:type="dxa"/>
            <w:gridSpan w:val="2"/>
            <w:vMerge w:val="continue"/>
          </w:tcPr>
          <w:p>
            <w:pPr>
              <w:pStyle w:val="35"/>
              <w:spacing w:line="400" w:lineRule="exact"/>
              <w:ind w:left="629" w:right="33" w:hanging="540"/>
              <w:rPr>
                <w:sz w:val="21"/>
                <w:szCs w:val="21"/>
                <w:highlight w:val="none"/>
              </w:rPr>
            </w:pPr>
          </w:p>
        </w:tc>
        <w:tc>
          <w:tcPr>
            <w:tcW w:w="8618" w:type="dxa"/>
            <w:vAlign w:val="top"/>
          </w:tcPr>
          <w:p>
            <w:pPr>
              <w:pStyle w:val="24"/>
              <w:spacing w:line="400" w:lineRule="exact"/>
              <w:ind w:left="0" w:leftChars="0" w:firstLine="0" w:firstLineChars="0"/>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（2）落实政府采购政策需满足的资格要求：参与的供应商工程的施工单位全部为符合政策要求的中小企业</w:t>
            </w:r>
            <w:r>
              <w:rPr>
                <w:rFonts w:hint="eastAsia" w:ascii="宋体" w:eastAsia="宋体" w:cs="宋体"/>
                <w:sz w:val="24"/>
                <w:szCs w:val="24"/>
                <w:highlight w:val="none"/>
                <w:lang w:val="en-US" w:eastAsia="zh-CN" w:bidi="ja-JP"/>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jc w:val="center"/>
        </w:trPr>
        <w:tc>
          <w:tcPr>
            <w:tcW w:w="1493" w:type="dxa"/>
            <w:gridSpan w:val="2"/>
            <w:vMerge w:val="continue"/>
          </w:tcPr>
          <w:p>
            <w:pPr>
              <w:spacing w:line="400" w:lineRule="exact"/>
              <w:rPr>
                <w:sz w:val="21"/>
                <w:szCs w:val="21"/>
                <w:highlight w:val="none"/>
              </w:rPr>
            </w:pPr>
          </w:p>
        </w:tc>
        <w:tc>
          <w:tcPr>
            <w:tcW w:w="8618" w:type="dxa"/>
            <w:vAlign w:val="top"/>
          </w:tcPr>
          <w:p>
            <w:pPr>
              <w:pStyle w:val="24"/>
              <w:spacing w:line="400" w:lineRule="exact"/>
              <w:ind w:left="0" w:leftChars="0" w:firstLine="0" w:firstLineChars="0"/>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（3）本项目特定的资格要求：</w:t>
            </w:r>
          </w:p>
          <w:p>
            <w:pPr>
              <w:pStyle w:val="24"/>
              <w:spacing w:line="400" w:lineRule="exact"/>
              <w:ind w:firstLine="528" w:firstLineChars="200"/>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①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响应截止时间当天在“信用中国”网站（www.creditchina.gov.cn）及中国政府采购网（www.ccgp.gov.cn/）查询结果为准，如相关失信记录已失效，供应商需提供相关证明资料）。</w:t>
            </w:r>
          </w:p>
          <w:p>
            <w:pPr>
              <w:pStyle w:val="24"/>
              <w:spacing w:line="400" w:lineRule="exact"/>
              <w:ind w:firstLine="528" w:firstLineChars="200"/>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②单位负责人为同一人或者存在直接控股、管理关系的不同供应商，不得同时参加本采购项目响应。为本项目提供整体设计、规范编制或者项目管理、监理、检测等服务的供应商，不得再参与本项目响应。编辑承诺函承诺相关要求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1493" w:type="dxa"/>
            <w:gridSpan w:val="2"/>
            <w:vMerge w:val="continue"/>
          </w:tcPr>
          <w:p>
            <w:pPr>
              <w:spacing w:line="400" w:lineRule="exact"/>
              <w:rPr>
                <w:sz w:val="21"/>
                <w:szCs w:val="21"/>
                <w:highlight w:val="none"/>
              </w:rPr>
            </w:pPr>
          </w:p>
        </w:tc>
        <w:tc>
          <w:tcPr>
            <w:tcW w:w="8618" w:type="dxa"/>
            <w:vAlign w:val="top"/>
          </w:tcPr>
          <w:p>
            <w:pPr>
              <w:pStyle w:val="24"/>
              <w:spacing w:line="400" w:lineRule="exact"/>
              <w:ind w:left="0" w:leftChars="0" w:firstLine="0" w:firstLineChars="0"/>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（4）拟派项目负责人：须具备园林或林业类工程师中级及以上职称，并提供该人员2026年5月起任意一个月在投标单位缴纳有效养老社保证明复印件（含分公司或分支机构养老社保缴纳记录）及劳动合同复印件。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493" w:type="dxa"/>
            <w:gridSpan w:val="2"/>
            <w:vMerge w:val="continue"/>
          </w:tcPr>
          <w:p>
            <w:pPr>
              <w:spacing w:line="400" w:lineRule="exact"/>
              <w:rPr>
                <w:sz w:val="21"/>
                <w:szCs w:val="21"/>
                <w:highlight w:val="none"/>
              </w:rPr>
            </w:pPr>
          </w:p>
        </w:tc>
        <w:tc>
          <w:tcPr>
            <w:tcW w:w="8618" w:type="dxa"/>
            <w:vAlign w:val="center"/>
          </w:tcPr>
          <w:p>
            <w:pPr>
              <w:pStyle w:val="24"/>
              <w:spacing w:line="400" w:lineRule="exact"/>
              <w:ind w:left="0" w:leftChars="0" w:firstLine="0" w:firstLineChars="0"/>
              <w:rPr>
                <w:rFonts w:hint="eastAsia"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en-US" w:eastAsia="zh-CN" w:bidi="ja-JP"/>
              </w:rPr>
              <w:t>（5）本项目不接受联合体投标。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7" w:type="dxa"/>
            <w:vMerge w:val="restart"/>
            <w:vAlign w:val="center"/>
          </w:tcPr>
          <w:p>
            <w:pPr>
              <w:pStyle w:val="35"/>
              <w:spacing w:line="400" w:lineRule="exact"/>
              <w:ind w:right="22"/>
              <w:jc w:val="center"/>
              <w:rPr>
                <w:sz w:val="21"/>
                <w:szCs w:val="21"/>
                <w:highlight w:val="none"/>
              </w:rPr>
            </w:pPr>
            <w:r>
              <w:rPr>
                <w:rFonts w:hint="eastAsia"/>
                <w:sz w:val="21"/>
                <w:szCs w:val="21"/>
                <w:highlight w:val="none"/>
              </w:rPr>
              <w:t>符合性审查</w:t>
            </w:r>
          </w:p>
        </w:tc>
        <w:tc>
          <w:tcPr>
            <w:tcW w:w="1066" w:type="dxa"/>
            <w:vAlign w:val="center"/>
          </w:tcPr>
          <w:p>
            <w:pPr>
              <w:pStyle w:val="35"/>
              <w:spacing w:line="400" w:lineRule="exact"/>
              <w:ind w:left="4" w:right="74"/>
              <w:jc w:val="center"/>
              <w:rPr>
                <w:rFonts w:hint="default" w:eastAsia="宋体"/>
                <w:sz w:val="21"/>
                <w:szCs w:val="21"/>
                <w:highlight w:val="none"/>
                <w:lang w:val="en-US" w:eastAsia="zh-CN"/>
              </w:rPr>
            </w:pPr>
            <w:r>
              <w:rPr>
                <w:rFonts w:hint="eastAsia"/>
                <w:sz w:val="21"/>
                <w:szCs w:val="21"/>
                <w:highlight w:val="none"/>
                <w:lang w:val="en-US" w:eastAsia="zh-CN"/>
              </w:rPr>
              <w:t>投标函</w:t>
            </w:r>
          </w:p>
        </w:tc>
        <w:tc>
          <w:tcPr>
            <w:tcW w:w="8618" w:type="dxa"/>
            <w:vAlign w:val="center"/>
          </w:tcPr>
          <w:p>
            <w:pPr>
              <w:pStyle w:val="24"/>
              <w:spacing w:line="400" w:lineRule="exact"/>
              <w:ind w:left="0" w:leftChars="0" w:firstLine="0" w:firstLineChars="0"/>
              <w:jc w:val="both"/>
              <w:rPr>
                <w:rFonts w:hint="eastAsia" w:ascii="宋体" w:hAnsi="宋体" w:eastAsia="宋体" w:cs="宋体"/>
                <w:sz w:val="24"/>
                <w:szCs w:val="24"/>
                <w:highlight w:val="none"/>
                <w:lang w:val="en-US" w:eastAsia="zh-CN" w:bidi="ja-JP"/>
              </w:rPr>
            </w:pPr>
            <w:r>
              <w:rPr>
                <w:rFonts w:hint="eastAsia" w:ascii="宋体" w:eastAsia="宋体" w:cs="宋体"/>
                <w:sz w:val="24"/>
                <w:szCs w:val="24"/>
                <w:highlight w:val="none"/>
                <w:lang w:val="en-US" w:eastAsia="zh-CN" w:bidi="ja-JP"/>
              </w:rPr>
              <w:t>（1）</w:t>
            </w:r>
            <w:r>
              <w:rPr>
                <w:rFonts w:hint="eastAsia" w:ascii="宋体" w:hAnsi="宋体" w:eastAsia="宋体" w:cs="宋体"/>
                <w:sz w:val="24"/>
                <w:szCs w:val="24"/>
                <w:highlight w:val="none"/>
                <w:lang w:val="en-US" w:eastAsia="zh-CN" w:bidi="ja-JP"/>
              </w:rPr>
              <w:t>法定代表人证明书及授权委托书，按对应格式文件签署、盖章(原件)。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7" w:type="dxa"/>
            <w:vMerge w:val="continue"/>
          </w:tcPr>
          <w:p>
            <w:pPr>
              <w:spacing w:line="400" w:lineRule="exact"/>
              <w:rPr>
                <w:sz w:val="21"/>
                <w:szCs w:val="21"/>
                <w:highlight w:val="none"/>
              </w:rPr>
            </w:pPr>
          </w:p>
        </w:tc>
        <w:tc>
          <w:tcPr>
            <w:tcW w:w="1066" w:type="dxa"/>
            <w:vAlign w:val="center"/>
          </w:tcPr>
          <w:p>
            <w:pPr>
              <w:pStyle w:val="35"/>
              <w:spacing w:line="400" w:lineRule="exact"/>
              <w:ind w:left="4" w:right="74"/>
              <w:jc w:val="center"/>
              <w:rPr>
                <w:sz w:val="21"/>
                <w:szCs w:val="21"/>
                <w:highlight w:val="none"/>
              </w:rPr>
            </w:pPr>
            <w:r>
              <w:rPr>
                <w:rFonts w:hint="eastAsia"/>
                <w:sz w:val="21"/>
                <w:szCs w:val="21"/>
                <w:highlight w:val="none"/>
              </w:rPr>
              <w:t>投标人的合格性</w:t>
            </w:r>
          </w:p>
        </w:tc>
        <w:tc>
          <w:tcPr>
            <w:tcW w:w="8618" w:type="dxa"/>
            <w:vAlign w:val="center"/>
          </w:tcPr>
          <w:p>
            <w:pPr>
              <w:pStyle w:val="24"/>
              <w:spacing w:line="400" w:lineRule="exact"/>
              <w:ind w:left="0" w:leftChars="0" w:firstLine="0" w:firstLineChars="0"/>
              <w:jc w:val="both"/>
              <w:rPr>
                <w:rFonts w:hint="eastAsia" w:ascii="宋体" w:hAnsi="宋体" w:eastAsia="宋体" w:cs="宋体"/>
                <w:sz w:val="24"/>
                <w:szCs w:val="24"/>
                <w:highlight w:val="none"/>
                <w:lang w:val="en-US" w:eastAsia="zh-CN" w:bidi="ja-JP"/>
              </w:rPr>
            </w:pPr>
            <w:r>
              <w:rPr>
                <w:rFonts w:hint="eastAsia" w:ascii="宋体" w:eastAsia="宋体" w:cs="宋体"/>
                <w:sz w:val="24"/>
                <w:szCs w:val="24"/>
                <w:highlight w:val="none"/>
                <w:lang w:val="en-US" w:eastAsia="zh-CN" w:bidi="ja-JP"/>
              </w:rPr>
              <w:t>（2）</w:t>
            </w:r>
            <w:r>
              <w:rPr>
                <w:rFonts w:hint="eastAsia" w:ascii="宋体" w:hAnsi="宋体" w:eastAsia="宋体" w:cs="宋体"/>
                <w:sz w:val="24"/>
                <w:szCs w:val="24"/>
                <w:highlight w:val="none"/>
                <w:lang w:val="en-US" w:eastAsia="zh-CN" w:bidi="ja-JP"/>
              </w:rPr>
              <w:t>提交报价函按</w:t>
            </w:r>
            <w:r>
              <w:rPr>
                <w:rFonts w:hint="eastAsia" w:ascii="宋体" w:eastAsia="宋体" w:cs="宋体"/>
                <w:sz w:val="24"/>
                <w:szCs w:val="24"/>
                <w:highlight w:val="none"/>
                <w:lang w:val="en-US" w:eastAsia="zh-CN" w:bidi="ja-JP"/>
              </w:rPr>
              <w:t>采购</w:t>
            </w:r>
            <w:r>
              <w:rPr>
                <w:rFonts w:hint="eastAsia" w:ascii="宋体" w:hAnsi="宋体" w:eastAsia="宋体" w:cs="宋体"/>
                <w:sz w:val="24"/>
                <w:szCs w:val="24"/>
                <w:highlight w:val="none"/>
                <w:lang w:val="en-US" w:eastAsia="zh-CN" w:bidi="ja-JP"/>
              </w:rPr>
              <w:t>文件要求报价，且报价唯一确定。报价文件完整且编排有序，报价内容基本完整，无重大错漏，并按要求密封、签署、盖章。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7" w:type="dxa"/>
            <w:vMerge w:val="continue"/>
          </w:tcPr>
          <w:p>
            <w:pPr>
              <w:spacing w:line="400" w:lineRule="exact"/>
              <w:rPr>
                <w:sz w:val="21"/>
                <w:szCs w:val="21"/>
                <w:highlight w:val="none"/>
              </w:rPr>
            </w:pPr>
          </w:p>
        </w:tc>
        <w:tc>
          <w:tcPr>
            <w:tcW w:w="1066" w:type="dxa"/>
            <w:vAlign w:val="center"/>
          </w:tcPr>
          <w:p>
            <w:pPr>
              <w:pStyle w:val="35"/>
              <w:spacing w:line="400" w:lineRule="exact"/>
              <w:ind w:left="4" w:right="71"/>
              <w:jc w:val="center"/>
              <w:rPr>
                <w:rFonts w:hint="eastAsia" w:eastAsia="宋体"/>
                <w:sz w:val="21"/>
                <w:szCs w:val="21"/>
                <w:highlight w:val="none"/>
                <w:lang w:val="en-US" w:eastAsia="zh-CN"/>
              </w:rPr>
            </w:pPr>
            <w:r>
              <w:rPr>
                <w:rFonts w:hint="eastAsia"/>
                <w:sz w:val="21"/>
                <w:szCs w:val="21"/>
                <w:highlight w:val="none"/>
                <w:lang w:eastAsia="zh-CN"/>
              </w:rPr>
              <w:t>格式要求</w:t>
            </w:r>
          </w:p>
        </w:tc>
        <w:tc>
          <w:tcPr>
            <w:tcW w:w="8618" w:type="dxa"/>
            <w:vAlign w:val="center"/>
          </w:tcPr>
          <w:p>
            <w:pPr>
              <w:pStyle w:val="24"/>
              <w:spacing w:line="400" w:lineRule="exact"/>
              <w:ind w:left="0" w:leftChars="0" w:firstLine="0" w:firstLineChars="0"/>
              <w:jc w:val="both"/>
              <w:rPr>
                <w:rFonts w:hint="eastAsia" w:ascii="宋体" w:hAnsi="宋体" w:eastAsia="宋体" w:cs="宋体"/>
                <w:sz w:val="24"/>
                <w:szCs w:val="24"/>
                <w:highlight w:val="none"/>
                <w:lang w:val="en-US" w:eastAsia="zh-CN" w:bidi="ja-JP"/>
              </w:rPr>
            </w:pPr>
            <w:r>
              <w:rPr>
                <w:rFonts w:hint="eastAsia" w:ascii="宋体" w:eastAsia="宋体" w:cs="宋体"/>
                <w:sz w:val="24"/>
                <w:szCs w:val="24"/>
                <w:highlight w:val="none"/>
                <w:lang w:val="en-US" w:eastAsia="zh-CN" w:bidi="ja-JP"/>
              </w:rPr>
              <w:t>（3）</w:t>
            </w:r>
            <w:r>
              <w:rPr>
                <w:rFonts w:hint="eastAsia" w:ascii="宋体" w:hAnsi="宋体" w:eastAsia="宋体" w:cs="宋体"/>
                <w:sz w:val="24"/>
                <w:szCs w:val="24"/>
                <w:highlight w:val="none"/>
                <w:lang w:val="en-US" w:eastAsia="zh-CN" w:bidi="ja-JP"/>
              </w:rPr>
              <w:t>符合</w:t>
            </w:r>
            <w:r>
              <w:rPr>
                <w:rFonts w:hint="eastAsia" w:ascii="宋体" w:eastAsia="宋体" w:cs="宋体"/>
                <w:sz w:val="24"/>
                <w:szCs w:val="24"/>
                <w:highlight w:val="none"/>
                <w:lang w:val="en-US" w:eastAsia="zh-CN" w:bidi="ja-JP"/>
              </w:rPr>
              <w:t>采购</w:t>
            </w:r>
            <w:r>
              <w:rPr>
                <w:rFonts w:hint="eastAsia" w:ascii="宋体" w:hAnsi="宋体" w:eastAsia="宋体" w:cs="宋体"/>
                <w:sz w:val="24"/>
                <w:szCs w:val="24"/>
                <w:highlight w:val="none"/>
                <w:lang w:val="en-US" w:eastAsia="zh-CN" w:bidi="ja-JP"/>
              </w:rPr>
              <w:t>文件中规定的投标文件格式要求。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7" w:type="dxa"/>
            <w:vMerge w:val="continue"/>
          </w:tcPr>
          <w:p>
            <w:pPr>
              <w:spacing w:line="400" w:lineRule="exact"/>
              <w:rPr>
                <w:sz w:val="21"/>
                <w:szCs w:val="21"/>
                <w:highlight w:val="none"/>
              </w:rPr>
            </w:pPr>
          </w:p>
        </w:tc>
        <w:tc>
          <w:tcPr>
            <w:tcW w:w="1066" w:type="dxa"/>
            <w:vAlign w:val="center"/>
          </w:tcPr>
          <w:p>
            <w:pPr>
              <w:pStyle w:val="35"/>
              <w:spacing w:line="400" w:lineRule="exact"/>
              <w:ind w:left="4" w:leftChars="0" w:right="71" w:rightChars="0"/>
              <w:jc w:val="center"/>
              <w:rPr>
                <w:rFonts w:hint="eastAsia"/>
                <w:sz w:val="21"/>
                <w:szCs w:val="21"/>
                <w:highlight w:val="none"/>
              </w:rPr>
            </w:pPr>
            <w:r>
              <w:rPr>
                <w:rFonts w:hint="eastAsia"/>
                <w:sz w:val="21"/>
                <w:szCs w:val="21"/>
                <w:highlight w:val="none"/>
              </w:rPr>
              <w:t>其它</w:t>
            </w:r>
          </w:p>
        </w:tc>
        <w:tc>
          <w:tcPr>
            <w:tcW w:w="8618" w:type="dxa"/>
            <w:vAlign w:val="center"/>
          </w:tcPr>
          <w:p>
            <w:pPr>
              <w:pStyle w:val="24"/>
              <w:spacing w:line="400" w:lineRule="exact"/>
              <w:ind w:left="0" w:leftChars="0" w:firstLine="0" w:firstLineChars="0"/>
              <w:rPr>
                <w:rFonts w:hint="eastAsia" w:ascii="宋体" w:hAnsi="宋体" w:eastAsia="宋体" w:cs="宋体"/>
                <w:sz w:val="24"/>
                <w:szCs w:val="24"/>
                <w:highlight w:val="none"/>
                <w:lang w:val="en-US" w:eastAsia="zh-CN" w:bidi="ja-JP"/>
              </w:rPr>
            </w:pPr>
            <w:r>
              <w:rPr>
                <w:rFonts w:hint="eastAsia" w:ascii="宋体" w:eastAsia="宋体" w:cs="宋体"/>
                <w:sz w:val="24"/>
                <w:szCs w:val="24"/>
                <w:highlight w:val="none"/>
                <w:lang w:val="en-US" w:eastAsia="zh-CN" w:bidi="ja-JP"/>
              </w:rPr>
              <w:t>（4）</w:t>
            </w:r>
            <w:r>
              <w:rPr>
                <w:rFonts w:hint="eastAsia" w:ascii="宋体" w:hAnsi="宋体" w:eastAsia="宋体" w:cs="宋体"/>
                <w:sz w:val="24"/>
                <w:szCs w:val="24"/>
                <w:highlight w:val="none"/>
                <w:lang w:val="en-US" w:eastAsia="zh-CN" w:bidi="ja-JP"/>
              </w:rPr>
              <w:t>实质性响应</w:t>
            </w:r>
            <w:r>
              <w:rPr>
                <w:rFonts w:hint="eastAsia" w:ascii="宋体" w:eastAsia="宋体" w:cs="宋体"/>
                <w:sz w:val="24"/>
                <w:szCs w:val="24"/>
                <w:highlight w:val="none"/>
                <w:lang w:val="en-US" w:eastAsia="zh-CN" w:bidi="ja-JP"/>
              </w:rPr>
              <w:t>采购</w:t>
            </w:r>
            <w:r>
              <w:rPr>
                <w:rFonts w:hint="eastAsia" w:ascii="宋体" w:hAnsi="宋体" w:eastAsia="宋体" w:cs="宋体"/>
                <w:sz w:val="24"/>
                <w:szCs w:val="24"/>
                <w:highlight w:val="none"/>
                <w:lang w:val="en-US" w:eastAsia="zh-CN" w:bidi="ja-JP"/>
              </w:rPr>
              <w:t>文件中规定的其它情况 。</w:t>
            </w:r>
          </w:p>
        </w:tc>
      </w:tr>
    </w:tbl>
    <w:p>
      <w:pPr>
        <w:pStyle w:val="11"/>
        <w:kinsoku w:val="0"/>
        <w:overflowPunct w:val="0"/>
        <w:spacing w:before="28"/>
        <w:rPr>
          <w:sz w:val="21"/>
          <w:szCs w:val="21"/>
          <w:highlight w:val="none"/>
        </w:rPr>
      </w:pPr>
      <w:r>
        <w:rPr>
          <w:rFonts w:hint="eastAsia"/>
          <w:sz w:val="21"/>
          <w:szCs w:val="21"/>
          <w:highlight w:val="none"/>
        </w:rPr>
        <w:t>备注：  1.本表与</w:t>
      </w:r>
      <w:r>
        <w:rPr>
          <w:rFonts w:hint="eastAsia"/>
          <w:sz w:val="21"/>
          <w:szCs w:val="21"/>
          <w:highlight w:val="none"/>
          <w:lang w:val="en-US" w:eastAsia="zh-CN"/>
        </w:rPr>
        <w:t>采购</w:t>
      </w:r>
      <w:r>
        <w:rPr>
          <w:rFonts w:hint="eastAsia"/>
          <w:sz w:val="21"/>
          <w:szCs w:val="21"/>
          <w:highlight w:val="none"/>
        </w:rPr>
        <w:t>文件中相关评审条款内容不一致的，以本表内容为准。</w:t>
      </w:r>
    </w:p>
    <w:p>
      <w:pPr>
        <w:pStyle w:val="11"/>
        <w:kinsoku w:val="0"/>
        <w:overflowPunct w:val="0"/>
        <w:spacing w:before="28"/>
        <w:ind w:left="110" w:leftChars="50" w:firstLine="594" w:firstLineChars="283"/>
        <w:rPr>
          <w:sz w:val="21"/>
          <w:szCs w:val="21"/>
          <w:highlight w:val="none"/>
        </w:rPr>
      </w:pPr>
      <w:r>
        <w:rPr>
          <w:rFonts w:hint="eastAsia"/>
          <w:sz w:val="21"/>
          <w:szCs w:val="21"/>
          <w:highlight w:val="none"/>
        </w:rPr>
        <w:t xml:space="preserve"> 2.每一项符合的打“√”，不符合的打“×”。</w:t>
      </w:r>
    </w:p>
    <w:p>
      <w:pPr>
        <w:pStyle w:val="11"/>
        <w:kinsoku w:val="0"/>
        <w:overflowPunct w:val="0"/>
        <w:spacing w:before="51"/>
        <w:ind w:left="110" w:leftChars="50" w:firstLine="699" w:firstLineChars="333"/>
        <w:rPr>
          <w:sz w:val="21"/>
          <w:szCs w:val="21"/>
          <w:highlight w:val="none"/>
        </w:rPr>
      </w:pPr>
      <w:r>
        <w:rPr>
          <w:rFonts w:hint="eastAsia"/>
          <w:sz w:val="21"/>
          <w:szCs w:val="21"/>
          <w:highlight w:val="none"/>
        </w:rPr>
        <w:t>3.“结论”一栏填写“通过”或“不通过”；任何一项出现“×”的，结论为不通过；不通过的为无效响应。</w:t>
      </w:r>
    </w:p>
    <w:p>
      <w:pPr>
        <w:pStyle w:val="11"/>
        <w:kinsoku w:val="0"/>
        <w:overflowPunct w:val="0"/>
        <w:spacing w:before="51"/>
        <w:ind w:firstLine="804" w:firstLineChars="383"/>
        <w:rPr>
          <w:sz w:val="21"/>
          <w:szCs w:val="21"/>
          <w:highlight w:val="none"/>
        </w:rPr>
      </w:pPr>
      <w:r>
        <w:rPr>
          <w:rFonts w:hint="eastAsia"/>
          <w:sz w:val="21"/>
          <w:szCs w:val="21"/>
          <w:highlight w:val="none"/>
        </w:rPr>
        <w:t>4.汇总时出现不同意见的，采购小组按简单多数原则表决决定。</w:t>
      </w:r>
    </w:p>
    <w:p>
      <w:pPr>
        <w:jc w:val="both"/>
        <w:rPr>
          <w:sz w:val="21"/>
          <w:highlight w:val="none"/>
        </w:rPr>
        <w:sectPr>
          <w:pgSz w:w="11910" w:h="16840"/>
          <w:pgMar w:top="1440" w:right="1080" w:bottom="1440" w:left="1080" w:header="0" w:footer="995" w:gutter="0"/>
          <w:cols w:space="720" w:num="1"/>
        </w:sectPr>
      </w:pPr>
    </w:p>
    <w:p>
      <w:pPr>
        <w:spacing w:line="360" w:lineRule="auto"/>
        <w:jc w:val="both"/>
        <w:rPr>
          <w:bCs/>
          <w:sz w:val="24"/>
          <w:szCs w:val="24"/>
          <w:highlight w:val="none"/>
          <w:lang w:val="en-US" w:eastAsia="zh-CN"/>
        </w:rPr>
      </w:pPr>
      <w:r>
        <w:rPr>
          <w:rFonts w:hint="eastAsia"/>
          <w:bCs/>
          <w:sz w:val="24"/>
          <w:szCs w:val="24"/>
          <w:highlight w:val="none"/>
          <w:lang w:val="en-US" w:eastAsia="zh-CN"/>
        </w:rPr>
        <w:t>附表二：技术</w:t>
      </w:r>
      <w:r>
        <w:rPr>
          <w:rFonts w:hint="eastAsia"/>
          <w:bCs/>
          <w:sz w:val="24"/>
          <w:szCs w:val="24"/>
          <w:highlight w:val="none"/>
        </w:rPr>
        <w:t>商务评审表</w:t>
      </w:r>
    </w:p>
    <w:p>
      <w:pPr>
        <w:spacing w:line="360" w:lineRule="auto"/>
        <w:jc w:val="center"/>
        <w:rPr>
          <w:bCs/>
          <w:sz w:val="24"/>
          <w:szCs w:val="24"/>
          <w:highlight w:val="none"/>
        </w:rPr>
      </w:pPr>
      <w:r>
        <w:rPr>
          <w:rFonts w:hint="eastAsia"/>
          <w:bCs/>
          <w:sz w:val="24"/>
          <w:szCs w:val="24"/>
          <w:highlight w:val="none"/>
          <w:lang w:val="en-US" w:eastAsia="zh-CN"/>
        </w:rPr>
        <w:t>技术</w:t>
      </w:r>
      <w:r>
        <w:rPr>
          <w:rFonts w:hint="eastAsia"/>
          <w:bCs/>
          <w:sz w:val="24"/>
          <w:szCs w:val="24"/>
          <w:highlight w:val="none"/>
        </w:rPr>
        <w:t>商务评审表</w:t>
      </w:r>
    </w:p>
    <w:p>
      <w:pPr>
        <w:pStyle w:val="24"/>
        <w:ind w:firstLine="504"/>
        <w:rPr>
          <w:highlight w:val="none"/>
        </w:rPr>
      </w:pPr>
    </w:p>
    <w:tbl>
      <w:tblPr>
        <w:tblStyle w:val="25"/>
        <w:tblpPr w:leftFromText="180" w:rightFromText="180" w:vertAnchor="text" w:horzAnchor="page" w:tblpXSpec="center" w:tblpY="9"/>
        <w:tblOverlap w:val="never"/>
        <w:tblW w:w="100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8"/>
        <w:gridCol w:w="1882"/>
        <w:gridCol w:w="6442"/>
        <w:gridCol w:w="7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938" w:type="dxa"/>
            <w:shd w:val="clear" w:color="auto" w:fill="auto"/>
            <w:vAlign w:val="center"/>
          </w:tcPr>
          <w:p>
            <w:pPr>
              <w:pStyle w:val="35"/>
              <w:jc w:val="center"/>
              <w:rPr>
                <w:sz w:val="21"/>
                <w:szCs w:val="21"/>
                <w:highlight w:val="none"/>
              </w:rPr>
            </w:pPr>
            <w:r>
              <w:rPr>
                <w:rFonts w:hint="eastAsia"/>
                <w:sz w:val="21"/>
                <w:szCs w:val="21"/>
                <w:highlight w:val="none"/>
              </w:rPr>
              <w:t>评分项目</w:t>
            </w:r>
          </w:p>
        </w:tc>
        <w:tc>
          <w:tcPr>
            <w:tcW w:w="1882" w:type="dxa"/>
            <w:shd w:val="clear" w:color="auto" w:fill="auto"/>
            <w:vAlign w:val="center"/>
          </w:tcPr>
          <w:p>
            <w:pPr>
              <w:pStyle w:val="35"/>
              <w:spacing w:before="180"/>
              <w:jc w:val="center"/>
              <w:rPr>
                <w:sz w:val="21"/>
                <w:szCs w:val="21"/>
                <w:highlight w:val="none"/>
              </w:rPr>
            </w:pPr>
            <w:r>
              <w:rPr>
                <w:rFonts w:hint="eastAsia"/>
                <w:sz w:val="21"/>
                <w:szCs w:val="21"/>
                <w:highlight w:val="none"/>
              </w:rPr>
              <w:t>评标因素</w:t>
            </w:r>
          </w:p>
        </w:tc>
        <w:tc>
          <w:tcPr>
            <w:tcW w:w="6442" w:type="dxa"/>
            <w:shd w:val="clear" w:color="auto" w:fill="auto"/>
            <w:vAlign w:val="center"/>
          </w:tcPr>
          <w:p>
            <w:pPr>
              <w:pStyle w:val="35"/>
              <w:spacing w:before="180"/>
              <w:ind w:right="2396"/>
              <w:jc w:val="center"/>
              <w:rPr>
                <w:sz w:val="21"/>
                <w:szCs w:val="21"/>
                <w:highlight w:val="none"/>
              </w:rPr>
            </w:pPr>
            <w:r>
              <w:rPr>
                <w:rFonts w:hint="eastAsia"/>
                <w:sz w:val="21"/>
                <w:szCs w:val="21"/>
                <w:highlight w:val="none"/>
              </w:rPr>
              <w:t>评分原则</w:t>
            </w:r>
          </w:p>
        </w:tc>
        <w:tc>
          <w:tcPr>
            <w:tcW w:w="767" w:type="dxa"/>
            <w:shd w:val="clear" w:color="auto" w:fill="auto"/>
            <w:vAlign w:val="center"/>
          </w:tcPr>
          <w:p>
            <w:pPr>
              <w:pStyle w:val="35"/>
              <w:ind w:right="131"/>
              <w:jc w:val="center"/>
              <w:rPr>
                <w:sz w:val="21"/>
                <w:szCs w:val="21"/>
                <w:highlight w:val="none"/>
              </w:rPr>
            </w:pPr>
            <w:r>
              <w:rPr>
                <w:rFonts w:hint="eastAsia"/>
                <w:sz w:val="21"/>
                <w:szCs w:val="21"/>
                <w:highlight w:val="no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38" w:type="dxa"/>
            <w:vMerge w:val="restart"/>
            <w:shd w:val="clear" w:color="auto" w:fill="auto"/>
            <w:vAlign w:val="center"/>
          </w:tcPr>
          <w:p>
            <w:pPr>
              <w:pStyle w:val="35"/>
              <w:jc w:val="center"/>
              <w:rPr>
                <w:b/>
                <w:sz w:val="21"/>
                <w:szCs w:val="21"/>
                <w:highlight w:val="none"/>
              </w:rPr>
            </w:pPr>
          </w:p>
          <w:p>
            <w:pPr>
              <w:pStyle w:val="35"/>
              <w:jc w:val="center"/>
              <w:rPr>
                <w:b/>
                <w:sz w:val="21"/>
                <w:szCs w:val="21"/>
                <w:highlight w:val="none"/>
              </w:rPr>
            </w:pPr>
          </w:p>
          <w:p>
            <w:pPr>
              <w:pStyle w:val="35"/>
              <w:jc w:val="center"/>
              <w:rPr>
                <w:b/>
                <w:sz w:val="21"/>
                <w:szCs w:val="21"/>
                <w:highlight w:val="none"/>
              </w:rPr>
            </w:pPr>
          </w:p>
          <w:p>
            <w:pPr>
              <w:pStyle w:val="35"/>
              <w:jc w:val="center"/>
              <w:rPr>
                <w:sz w:val="21"/>
                <w:szCs w:val="21"/>
                <w:highlight w:val="none"/>
              </w:rPr>
            </w:pPr>
            <w:r>
              <w:rPr>
                <w:rFonts w:hint="eastAsia"/>
                <w:sz w:val="21"/>
                <w:szCs w:val="21"/>
                <w:highlight w:val="none"/>
              </w:rPr>
              <w:t>技术评分</w:t>
            </w:r>
          </w:p>
          <w:p>
            <w:pPr>
              <w:pStyle w:val="35"/>
              <w:jc w:val="center"/>
              <w:rPr>
                <w:sz w:val="21"/>
                <w:szCs w:val="21"/>
                <w:highlight w:val="none"/>
              </w:rPr>
            </w:pPr>
            <w:r>
              <w:rPr>
                <w:rFonts w:hint="eastAsia"/>
                <w:sz w:val="21"/>
                <w:szCs w:val="21"/>
                <w:highlight w:val="none"/>
              </w:rPr>
              <w:t>（</w:t>
            </w:r>
            <w:r>
              <w:rPr>
                <w:rFonts w:hint="eastAsia"/>
                <w:sz w:val="21"/>
                <w:szCs w:val="21"/>
                <w:highlight w:val="none"/>
                <w:lang w:val="en-US" w:eastAsia="zh-CN"/>
              </w:rPr>
              <w:t>35</w:t>
            </w:r>
            <w:r>
              <w:rPr>
                <w:rFonts w:hint="eastAsia"/>
                <w:sz w:val="21"/>
                <w:szCs w:val="21"/>
                <w:highlight w:val="none"/>
              </w:rPr>
              <w:t>分）</w:t>
            </w: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对项目的总体认识程度</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根据供应商对项目的总体认识程度（包括但不限于（1）项目目标、（2）项目理解、（3）对周边环境的关系以及对城市生态和景观影响的认识）进行评审：1、供应商的项目的总体认识</w:t>
            </w:r>
            <w:r>
              <w:rPr>
                <w:rFonts w:hint="eastAsia" w:cs="宋体"/>
                <w:sz w:val="21"/>
                <w:szCs w:val="21"/>
                <w:highlight w:val="none"/>
                <w:lang w:eastAsia="zh-CN"/>
              </w:rPr>
              <w:t>，</w:t>
            </w:r>
            <w:r>
              <w:rPr>
                <w:rFonts w:hint="eastAsia" w:ascii="宋体" w:hAnsi="宋体" w:eastAsia="宋体" w:cs="宋体"/>
                <w:sz w:val="21"/>
                <w:szCs w:val="21"/>
                <w:highlight w:val="none"/>
              </w:rPr>
              <w:t>每包含以上一项内容的，得0.5分，满分1.5分，未提供不得分；2、在此基础上，</w:t>
            </w:r>
            <w:r>
              <w:rPr>
                <w:rFonts w:hint="eastAsia" w:cs="宋体"/>
                <w:sz w:val="21"/>
                <w:szCs w:val="21"/>
                <w:highlight w:val="none"/>
                <w:lang w:val="en-US" w:eastAsia="zh-CN"/>
              </w:rPr>
              <w:t>评审</w:t>
            </w:r>
            <w:r>
              <w:rPr>
                <w:rFonts w:hint="eastAsia" w:ascii="宋体" w:hAnsi="宋体" w:eastAsia="宋体" w:cs="宋体"/>
                <w:sz w:val="21"/>
                <w:szCs w:val="21"/>
                <w:highlight w:val="none"/>
              </w:rPr>
              <w:t>小组根据各供应商的具体响应内容进一步评审：（1）方案内容完全满足或优于项目需求的，得6.5分；（2）方案内容基本满足项目需求的，得5.5分；（3）方案内容不能满足项目需求的，得4分；（4）不提供不得分。</w:t>
            </w:r>
          </w:p>
        </w:tc>
        <w:tc>
          <w:tcPr>
            <w:tcW w:w="767" w:type="dxa"/>
            <w:shd w:val="clear" w:color="auto" w:fill="auto"/>
            <w:vAlign w:val="center"/>
          </w:tcPr>
          <w:p>
            <w:pPr>
              <w:pStyle w:val="35"/>
              <w:spacing w:before="140"/>
              <w:ind w:left="137" w:right="131"/>
              <w:jc w:val="center"/>
              <w:rPr>
                <w:sz w:val="21"/>
                <w:szCs w:val="21"/>
                <w:highlight w:val="none"/>
              </w:rPr>
            </w:pPr>
            <w:r>
              <w:rPr>
                <w:rFonts w:hint="eastAsia" w:cs="宋体"/>
                <w:sz w:val="21"/>
                <w:szCs w:val="21"/>
                <w:lang w:val="en-US" w:eastAsia="zh-CN"/>
              </w:rPr>
              <w:t>8</w:t>
            </w:r>
            <w:r>
              <w:rPr>
                <w:rFonts w:hint="eastAsia" w:ascii="宋体" w:hAnsi="宋体" w:eastAsia="宋体" w:cs="宋体"/>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jc w:val="center"/>
        </w:trPr>
        <w:tc>
          <w:tcPr>
            <w:tcW w:w="938" w:type="dxa"/>
            <w:vMerge w:val="continue"/>
            <w:shd w:val="clear" w:color="auto" w:fill="auto"/>
            <w:vAlign w:val="center"/>
          </w:tcPr>
          <w:p>
            <w:pPr>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项目实施方案</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供应商对本项目编制的实施方案（包括但不限于（1）项目涉及的关键施工技术、（2）根据项目场地情况，全面且深入地分析项目实施过程中的重点难点问题针对每个重点难点问题，都提出切实可行、具体详细且具有创新性的解决方案、（3）充分考虑资源利用、成本控制、施工安全等因素，方案具有很强的可操作性和有效性。）进行评审：1、供应商的项目实施方案每包含以上一项内容的，得0.5分，满分1.5分，未提供不得分；2、在此基础上，</w:t>
            </w:r>
            <w:r>
              <w:rPr>
                <w:rFonts w:hint="eastAsia" w:cs="宋体"/>
                <w:sz w:val="21"/>
                <w:szCs w:val="21"/>
                <w:highlight w:val="none"/>
                <w:lang w:val="en-US" w:eastAsia="zh-CN"/>
              </w:rPr>
              <w:t>评审</w:t>
            </w:r>
            <w:r>
              <w:rPr>
                <w:rFonts w:hint="eastAsia" w:ascii="宋体" w:hAnsi="宋体" w:eastAsia="宋体" w:cs="宋体"/>
                <w:sz w:val="21"/>
                <w:szCs w:val="21"/>
                <w:highlight w:val="none"/>
              </w:rPr>
              <w:t>小组根据各供应商的具体响应内容进一步评审：（1）方案内容完全满足或优于项目需求的，得6.5分；（2）方案内容基本满足项目需求的，得5.5分；（3）方案内容不能满足项目需求的，得4分；（4）不提供不得分。</w:t>
            </w:r>
          </w:p>
        </w:tc>
        <w:tc>
          <w:tcPr>
            <w:tcW w:w="767" w:type="dxa"/>
            <w:shd w:val="clear" w:color="auto" w:fill="auto"/>
            <w:vAlign w:val="center"/>
          </w:tcPr>
          <w:p>
            <w:pPr>
              <w:pStyle w:val="35"/>
              <w:spacing w:before="18"/>
              <w:ind w:left="137" w:right="131"/>
              <w:jc w:val="center"/>
              <w:rPr>
                <w:rFonts w:hint="eastAsia"/>
                <w:sz w:val="21"/>
                <w:szCs w:val="21"/>
                <w:highlight w:val="none"/>
                <w:lang w:val="en-US" w:eastAsia="zh-CN"/>
              </w:rPr>
            </w:pPr>
            <w:r>
              <w:rPr>
                <w:rFonts w:hint="eastAsia" w:cs="宋体"/>
                <w:sz w:val="21"/>
                <w:szCs w:val="21"/>
                <w:lang w:val="en-US" w:eastAsia="zh-CN"/>
              </w:rPr>
              <w:t>8</w:t>
            </w:r>
            <w:r>
              <w:rPr>
                <w:rFonts w:hint="eastAsia" w:ascii="宋体" w:hAnsi="宋体" w:eastAsia="宋体" w:cs="宋体"/>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4" w:hRule="atLeast"/>
          <w:jc w:val="center"/>
        </w:trPr>
        <w:tc>
          <w:tcPr>
            <w:tcW w:w="938" w:type="dxa"/>
            <w:vMerge w:val="continue"/>
            <w:shd w:val="clear" w:color="auto" w:fill="auto"/>
            <w:vAlign w:val="center"/>
          </w:tcPr>
          <w:p>
            <w:pPr>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质量控制保证措施 </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应根据本项目内容提供质量控制保证措施（包括但不限于（1）质量目标、（2）质量控制流程、（3）责任人及时间节点等）进行评审：1、供应商的质量控制保证措施每包含以上一项内容的，得0.5分，满分1.5分，未提供不得分；2、在此基础上，</w:t>
            </w:r>
            <w:r>
              <w:rPr>
                <w:rFonts w:hint="eastAsia" w:cs="宋体"/>
                <w:sz w:val="21"/>
                <w:szCs w:val="21"/>
                <w:highlight w:val="none"/>
                <w:lang w:val="en-US" w:eastAsia="zh-CN"/>
              </w:rPr>
              <w:t>评审</w:t>
            </w:r>
            <w:r>
              <w:rPr>
                <w:rFonts w:hint="eastAsia" w:ascii="宋体" w:hAnsi="宋体" w:eastAsia="宋体" w:cs="宋体"/>
                <w:sz w:val="21"/>
                <w:szCs w:val="21"/>
                <w:highlight w:val="none"/>
              </w:rPr>
              <w:t>小组根据各供应商的具体响应内容进一步评审：（1）方案内容完全满足或优于项目需求的，得3.5分；（2）方案内容基本满足项目需求的，得2.5分；（3）方案内容不能满足项目需求的，得1分；（4）不提供不得分。</w:t>
            </w:r>
          </w:p>
        </w:tc>
        <w:tc>
          <w:tcPr>
            <w:tcW w:w="767" w:type="dxa"/>
            <w:shd w:val="clear" w:color="auto" w:fill="auto"/>
            <w:vAlign w:val="center"/>
          </w:tcPr>
          <w:p>
            <w:pPr>
              <w:pStyle w:val="35"/>
              <w:spacing w:before="18"/>
              <w:ind w:left="137" w:right="131"/>
              <w:jc w:val="center"/>
              <w:rPr>
                <w:rFonts w:hint="eastAsia"/>
                <w:sz w:val="21"/>
                <w:szCs w:val="21"/>
                <w:highlight w:val="none"/>
                <w:lang w:val="en-US" w:eastAsia="zh-CN"/>
              </w:rPr>
            </w:pPr>
            <w:r>
              <w:rPr>
                <w:rFonts w:hint="eastAsia" w:cs="宋体"/>
                <w:sz w:val="21"/>
                <w:szCs w:val="21"/>
                <w:lang w:val="en-US" w:eastAsia="zh-CN"/>
              </w:rPr>
              <w:t>5</w:t>
            </w:r>
            <w:r>
              <w:rPr>
                <w:rFonts w:hint="eastAsia" w:ascii="宋体" w:hAnsi="宋体" w:eastAsia="宋体" w:cs="宋体"/>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938" w:type="dxa"/>
            <w:vMerge w:val="continue"/>
            <w:shd w:val="clear" w:color="auto" w:fill="auto"/>
            <w:vAlign w:val="center"/>
          </w:tcPr>
          <w:p>
            <w:pPr>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项目安全生产措施</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供应商对本项目编制的项目安全生产措施（包括但不限于（1）安全管理制度、（2）安全防护措施、（3）安全教育培训计划）进行评审：1、供应商的项目安全生产措施每包含以上一项内容的，得0.5分，满分1.5分，未提供不得分；2、在此基础上，</w:t>
            </w:r>
            <w:r>
              <w:rPr>
                <w:rFonts w:hint="eastAsia" w:cs="宋体"/>
                <w:sz w:val="21"/>
                <w:szCs w:val="21"/>
                <w:highlight w:val="none"/>
                <w:lang w:val="en-US" w:eastAsia="zh-CN"/>
              </w:rPr>
              <w:t>评审</w:t>
            </w:r>
            <w:r>
              <w:rPr>
                <w:rFonts w:hint="eastAsia" w:ascii="宋体" w:hAnsi="宋体" w:eastAsia="宋体" w:cs="宋体"/>
                <w:sz w:val="21"/>
                <w:szCs w:val="21"/>
                <w:highlight w:val="none"/>
              </w:rPr>
              <w:t>小组根据各供应商的具体响应内容进一步评审：（1）方案内容完全满足或优于项目需求的，得3.5分；（2）方案内容基本满足项目需求的，得2.5分；（3）方案内容不能满足项目需求的，得1分；（4）不提供不得分。</w:t>
            </w:r>
          </w:p>
        </w:tc>
        <w:tc>
          <w:tcPr>
            <w:tcW w:w="767" w:type="dxa"/>
            <w:shd w:val="clear" w:color="auto" w:fill="auto"/>
            <w:vAlign w:val="center"/>
          </w:tcPr>
          <w:p>
            <w:pPr>
              <w:pStyle w:val="35"/>
              <w:spacing w:before="22"/>
              <w:ind w:left="137" w:right="131"/>
              <w:jc w:val="center"/>
              <w:rPr>
                <w:sz w:val="21"/>
                <w:szCs w:val="21"/>
                <w:highlight w:val="none"/>
              </w:rPr>
            </w:pPr>
            <w:r>
              <w:rPr>
                <w:rFonts w:hint="eastAsia" w:cs="宋体"/>
                <w:sz w:val="21"/>
                <w:szCs w:val="21"/>
                <w:lang w:val="en-US" w:eastAsia="zh-CN"/>
              </w:rPr>
              <w:t>5</w:t>
            </w:r>
            <w:r>
              <w:rPr>
                <w:rFonts w:hint="eastAsia" w:ascii="宋体" w:hAnsi="宋体" w:eastAsia="宋体" w:cs="宋体"/>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938" w:type="dxa"/>
            <w:vMerge w:val="continue"/>
            <w:shd w:val="clear" w:color="auto" w:fill="auto"/>
            <w:vAlign w:val="center"/>
          </w:tcPr>
          <w:p>
            <w:pPr>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项目应急措施</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lang w:val="en-US" w:eastAsia="zh-Hans"/>
              </w:rPr>
            </w:pPr>
            <w:r>
              <w:rPr>
                <w:rFonts w:hint="eastAsia" w:ascii="宋体" w:hAnsi="宋体" w:eastAsia="宋体" w:cs="宋体"/>
                <w:sz w:val="21"/>
                <w:szCs w:val="21"/>
                <w:highlight w:val="none"/>
              </w:rPr>
              <w:t>根据供应商对本项目编制的项目应急措施（包括但不限于（1）自然灾害（台风、暴雨等）、（2）施工事故等突发事件制定相应预案）进行评审：1、供应商的项目应急措施每包含以上一项内容的，得0.5分，满分1分，未提供不得分；2、在此基础上，</w:t>
            </w:r>
            <w:r>
              <w:rPr>
                <w:rFonts w:hint="eastAsia" w:cs="宋体"/>
                <w:sz w:val="21"/>
                <w:szCs w:val="21"/>
                <w:highlight w:val="none"/>
                <w:lang w:val="en-US" w:eastAsia="zh-CN"/>
              </w:rPr>
              <w:t>评审</w:t>
            </w:r>
            <w:r>
              <w:rPr>
                <w:rFonts w:hint="eastAsia" w:ascii="宋体" w:hAnsi="宋体" w:eastAsia="宋体" w:cs="宋体"/>
                <w:sz w:val="21"/>
                <w:szCs w:val="21"/>
                <w:highlight w:val="none"/>
              </w:rPr>
              <w:t>小组根据各供应商的具体响应内容进一步评审：（1）方案内容完全满足或优于项目需求的，得4分；（2）方案内容基本满足项目需求的，得3分；（3）方案内容不能满足项目需求的，得2分；（4）不提供不得分。</w:t>
            </w:r>
          </w:p>
        </w:tc>
        <w:tc>
          <w:tcPr>
            <w:tcW w:w="767" w:type="dxa"/>
            <w:shd w:val="clear" w:color="auto" w:fill="auto"/>
            <w:vAlign w:val="center"/>
          </w:tcPr>
          <w:p>
            <w:pPr>
              <w:pStyle w:val="35"/>
              <w:spacing w:before="22"/>
              <w:ind w:left="137" w:right="131"/>
              <w:jc w:val="center"/>
              <w:rPr>
                <w:rFonts w:hint="default" w:cs="宋体"/>
                <w:sz w:val="21"/>
                <w:szCs w:val="21"/>
                <w:lang w:val="en-US" w:eastAsia="zh-CN"/>
              </w:rPr>
            </w:pPr>
            <w:r>
              <w:rPr>
                <w:rFonts w:hint="eastAsia" w:cs="宋体"/>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938" w:type="dxa"/>
            <w:vMerge w:val="continue"/>
            <w:shd w:val="clear" w:color="auto" w:fill="auto"/>
            <w:vAlign w:val="center"/>
          </w:tcPr>
          <w:p>
            <w:pPr>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增项服务水平</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供应商对本项目增项服务水平（包括但不限于（1）保障服务高效、加强配合力度、支持属地经济（如采购计划、聘用劳务人员等）、（2）、服务响应时效等相关措施及承诺）进行评审：1、供应商的增项服务水平每包含以上一项内容的，得0.5分，满分1分，未提供不得分；2、在此基础上，</w:t>
            </w:r>
            <w:r>
              <w:rPr>
                <w:rFonts w:hint="eastAsia" w:cs="宋体"/>
                <w:sz w:val="21"/>
                <w:szCs w:val="21"/>
                <w:highlight w:val="none"/>
                <w:lang w:val="en-US" w:eastAsia="zh-CN"/>
              </w:rPr>
              <w:t>评审</w:t>
            </w:r>
            <w:r>
              <w:rPr>
                <w:rFonts w:hint="eastAsia" w:ascii="宋体" w:hAnsi="宋体" w:eastAsia="宋体" w:cs="宋体"/>
                <w:sz w:val="21"/>
                <w:szCs w:val="21"/>
                <w:highlight w:val="none"/>
              </w:rPr>
              <w:t>小组根据各供应商的具体响应内容进一步评审：（1）方案内容完全满足或优于项目需求的，得3分；（2）方案内容基本满足项目需求的，得2分；（3）方案内容不能满足项目需求的，得1分；（4）不提供不得分。</w:t>
            </w:r>
          </w:p>
        </w:tc>
        <w:tc>
          <w:tcPr>
            <w:tcW w:w="767" w:type="dxa"/>
            <w:shd w:val="clear" w:color="auto" w:fill="auto"/>
            <w:vAlign w:val="center"/>
          </w:tcPr>
          <w:p>
            <w:pPr>
              <w:pStyle w:val="35"/>
              <w:spacing w:before="22"/>
              <w:ind w:left="137" w:right="131"/>
              <w:jc w:val="center"/>
              <w:rPr>
                <w:rFonts w:hint="default" w:cs="宋体"/>
                <w:sz w:val="21"/>
                <w:szCs w:val="21"/>
                <w:lang w:val="en-US" w:eastAsia="zh-CN"/>
              </w:rPr>
            </w:pPr>
            <w:r>
              <w:rPr>
                <w:rFonts w:hint="eastAsia" w:cs="宋体"/>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3" w:hRule="atLeast"/>
          <w:jc w:val="center"/>
        </w:trPr>
        <w:tc>
          <w:tcPr>
            <w:tcW w:w="938" w:type="dxa"/>
            <w:vMerge w:val="restart"/>
            <w:shd w:val="clear" w:color="auto" w:fill="auto"/>
            <w:vAlign w:val="center"/>
          </w:tcPr>
          <w:p>
            <w:pPr>
              <w:pStyle w:val="35"/>
              <w:jc w:val="center"/>
              <w:rPr>
                <w:b/>
                <w:sz w:val="21"/>
                <w:szCs w:val="21"/>
                <w:highlight w:val="none"/>
              </w:rPr>
            </w:pPr>
          </w:p>
          <w:p>
            <w:pPr>
              <w:pStyle w:val="35"/>
              <w:jc w:val="center"/>
              <w:rPr>
                <w:b/>
                <w:sz w:val="21"/>
                <w:szCs w:val="21"/>
                <w:highlight w:val="none"/>
              </w:rPr>
            </w:pPr>
          </w:p>
          <w:p>
            <w:pPr>
              <w:pStyle w:val="35"/>
              <w:jc w:val="center"/>
              <w:rPr>
                <w:b/>
                <w:sz w:val="21"/>
                <w:szCs w:val="21"/>
                <w:highlight w:val="none"/>
              </w:rPr>
            </w:pPr>
          </w:p>
          <w:p>
            <w:pPr>
              <w:pStyle w:val="35"/>
              <w:jc w:val="center"/>
              <w:rPr>
                <w:sz w:val="21"/>
                <w:szCs w:val="21"/>
                <w:highlight w:val="none"/>
              </w:rPr>
            </w:pPr>
            <w:r>
              <w:rPr>
                <w:rFonts w:hint="eastAsia"/>
                <w:sz w:val="21"/>
                <w:szCs w:val="21"/>
                <w:highlight w:val="none"/>
              </w:rPr>
              <w:t>商务评</w:t>
            </w:r>
            <w:r>
              <w:rPr>
                <w:rFonts w:hint="eastAsia"/>
                <w:sz w:val="21"/>
                <w:szCs w:val="21"/>
                <w:highlight w:val="none"/>
                <w:lang w:eastAsia="zh-CN"/>
              </w:rPr>
              <w:t>分</w:t>
            </w:r>
            <w:r>
              <w:rPr>
                <w:rFonts w:hint="eastAsia"/>
                <w:sz w:val="21"/>
                <w:szCs w:val="21"/>
                <w:highlight w:val="none"/>
              </w:rPr>
              <w:t>（</w:t>
            </w:r>
            <w:r>
              <w:rPr>
                <w:rFonts w:hint="eastAsia"/>
                <w:sz w:val="21"/>
                <w:szCs w:val="21"/>
                <w:highlight w:val="none"/>
                <w:lang w:val="en-US" w:eastAsia="zh-CN"/>
              </w:rPr>
              <w:t>40</w:t>
            </w:r>
            <w:r>
              <w:rPr>
                <w:rFonts w:hint="eastAsia"/>
                <w:sz w:val="21"/>
                <w:szCs w:val="21"/>
                <w:highlight w:val="none"/>
              </w:rPr>
              <w:t>分）</w:t>
            </w: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同类项目业绩</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供应商2023年7月1日至今，完成过类似项目（园林绿化工程）业绩的，每提供一项得1分，最高得5分。注：需提供中标通知书（如有）、施工合同关键页、竣工验收报告或验收表或建设单位出具的完工证明复印件并加盖供应商公章，不提供不得分。（业绩的完成时间以竣工验收报告或验收表或建设单位出具的完工证明载明的时间为准）</w:t>
            </w:r>
          </w:p>
        </w:tc>
        <w:tc>
          <w:tcPr>
            <w:tcW w:w="767" w:type="dxa"/>
            <w:shd w:val="clear" w:color="auto" w:fill="auto"/>
            <w:vAlign w:val="center"/>
          </w:tcPr>
          <w:p>
            <w:pPr>
              <w:pStyle w:val="35"/>
              <w:ind w:left="137" w:right="131"/>
              <w:jc w:val="center"/>
              <w:rPr>
                <w:rFonts w:hint="default"/>
                <w:sz w:val="21"/>
                <w:szCs w:val="21"/>
                <w:highlight w:val="none"/>
                <w:lang w:val="en-US" w:eastAsia="zh-CN"/>
              </w:rPr>
            </w:pPr>
            <w:r>
              <w:rPr>
                <w:rFonts w:hint="eastAsia"/>
                <w:sz w:val="21"/>
                <w:szCs w:val="21"/>
                <w:highlight w:val="none"/>
                <w:lang w:val="en-US" w:eastAsia="zh-CN"/>
              </w:rPr>
              <w:t>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938" w:type="dxa"/>
            <w:vMerge w:val="continue"/>
            <w:shd w:val="clear" w:color="auto" w:fill="auto"/>
            <w:vAlign w:val="center"/>
          </w:tcPr>
          <w:p>
            <w:pPr>
              <w:pStyle w:val="35"/>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拟投入本项目负责人情况</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拟投入的项目负责人：（1）具有林业或园林类相关专业中级或以上工程师职称的，得2分</w:t>
            </w:r>
            <w:r>
              <w:rPr>
                <w:rFonts w:hint="eastAsia" w:cs="宋体"/>
                <w:sz w:val="21"/>
                <w:szCs w:val="21"/>
                <w:highlight w:val="none"/>
                <w:lang w:eastAsia="zh-CN"/>
              </w:rPr>
              <w:t>；</w:t>
            </w:r>
            <w:r>
              <w:rPr>
                <w:rFonts w:hint="eastAsia" w:ascii="宋体" w:hAnsi="宋体" w:eastAsia="宋体" w:cs="宋体"/>
                <w:sz w:val="21"/>
                <w:szCs w:val="21"/>
                <w:highlight w:val="none"/>
              </w:rPr>
              <w:t>（2）具有花境师职业技能证书或花卉工或绿化工中级（四级及以上）的，得3分；注：本项最高得5分。上述人员需提供相关证书等复印件并加盖公章；供应商须提供2026年</w:t>
            </w:r>
            <w:r>
              <w:rPr>
                <w:rFonts w:hint="eastAsia" w:cs="宋体"/>
                <w:sz w:val="21"/>
                <w:szCs w:val="21"/>
                <w:highlight w:val="none"/>
                <w:lang w:val="en-US" w:eastAsia="zh-CN"/>
              </w:rPr>
              <w:t>5</w:t>
            </w:r>
            <w:r>
              <w:rPr>
                <w:rFonts w:hint="eastAsia" w:ascii="宋体" w:hAnsi="宋体" w:eastAsia="宋体" w:cs="宋体"/>
                <w:sz w:val="21"/>
                <w:szCs w:val="21"/>
                <w:highlight w:val="none"/>
              </w:rPr>
              <w:t>月起任意一个月为上述人员缴纳有效养老社保证明复印件（含分公司或分支机构养老社保缴纳记录）或劳动合同复印件，不提供不得分。以供应商（或其分支机构）所属当地社保管理部门出具的证明材料的原件或复印件为准。</w:t>
            </w:r>
          </w:p>
        </w:tc>
        <w:tc>
          <w:tcPr>
            <w:tcW w:w="767" w:type="dxa"/>
            <w:shd w:val="clear" w:color="auto" w:fill="auto"/>
            <w:vAlign w:val="center"/>
          </w:tcPr>
          <w:p>
            <w:pPr>
              <w:pStyle w:val="35"/>
              <w:ind w:left="137" w:right="131"/>
              <w:jc w:val="center"/>
              <w:rPr>
                <w:sz w:val="21"/>
                <w:szCs w:val="21"/>
                <w:highlight w:val="none"/>
                <w:lang w:val="en-US" w:eastAsia="zh-CN"/>
              </w:rPr>
            </w:pPr>
            <w:r>
              <w:rPr>
                <w:rFonts w:hint="eastAsia"/>
                <w:sz w:val="21"/>
                <w:szCs w:val="21"/>
                <w:highlight w:val="none"/>
                <w:lang w:val="en-US" w:eastAsia="zh-CN"/>
              </w:rPr>
              <w:t>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938" w:type="dxa"/>
            <w:vMerge w:val="continue"/>
            <w:shd w:val="clear" w:color="auto" w:fill="auto"/>
            <w:vAlign w:val="center"/>
          </w:tcPr>
          <w:p>
            <w:pPr>
              <w:pStyle w:val="35"/>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拟投入本项目其他人员情况</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技术负责人（1人）：具有林业或园林类相关专业中级工程师职称的，得1分；具有林业或园林类相关专业高级工程师职称的，得3分；具有林业或园林类相关专业高级工程师职称的且具备花境师职业技能证书或花卉工或绿化工中级（四级及以上）的，得6分；本小项最高得6分。2.现场管理人员：（1）具有林业或园林类相关专业中级（或以上）工程师职称，每提供一人得2分，满分8分。（2）具有林业或园林类相关专业中级（或以上）工程师职称同时具有注册造价工程师（含一、二级注册造价工程师）的，每提供一人得3分，满分3分。本小项最高得11分。3.一线作业人员：需具有政府职能部门颁发的花卉工或绿化工证中级（四级工或以上），每提供一人得2分，满分8分。注：本项最高得25分。（1）上述人员需提供相关证书等复印件并加盖公章。供应商须提供2026年4月起任意一个月为上述人员缴纳有效养老社保证明复印件（含分公司或分支机构养老社保缴纳记录）或劳动合同复印件，不提供不得分。以供应商（或其分支机构）所属当地社保管理部门出具的证明材料的原件或复印件为准。（2）提供同一类型的职称按最高级别计算一次得分。（3）同一人员具备多个职称或证书的，不重复得分，施工人员、一线作业人员、技术负责人与项目负责人互相之间不得兼任。</w:t>
            </w:r>
          </w:p>
        </w:tc>
        <w:tc>
          <w:tcPr>
            <w:tcW w:w="767" w:type="dxa"/>
            <w:shd w:val="clear" w:color="auto" w:fill="auto"/>
            <w:vAlign w:val="center"/>
          </w:tcPr>
          <w:p>
            <w:pPr>
              <w:pStyle w:val="35"/>
              <w:spacing w:before="2"/>
              <w:jc w:val="center"/>
              <w:rPr>
                <w:b/>
                <w:sz w:val="21"/>
                <w:szCs w:val="21"/>
                <w:highlight w:val="none"/>
              </w:rPr>
            </w:pPr>
          </w:p>
          <w:p>
            <w:pPr>
              <w:pStyle w:val="35"/>
              <w:ind w:left="137" w:right="131"/>
              <w:jc w:val="center"/>
              <w:rPr>
                <w:sz w:val="21"/>
                <w:szCs w:val="21"/>
                <w:highlight w:val="none"/>
              </w:rPr>
            </w:pPr>
            <w:r>
              <w:rPr>
                <w:rFonts w:hint="eastAsia"/>
                <w:sz w:val="21"/>
                <w:szCs w:val="21"/>
                <w:highlight w:val="none"/>
                <w:lang w:val="en-US" w:eastAsia="zh-CN"/>
              </w:rPr>
              <w:t>25</w:t>
            </w:r>
            <w:r>
              <w:rPr>
                <w:rFonts w:hint="eastAsia"/>
                <w:sz w:val="21"/>
                <w:szCs w:val="21"/>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jc w:val="center"/>
        </w:trPr>
        <w:tc>
          <w:tcPr>
            <w:tcW w:w="938" w:type="dxa"/>
            <w:vMerge w:val="continue"/>
            <w:shd w:val="clear" w:color="auto" w:fill="auto"/>
            <w:vAlign w:val="center"/>
          </w:tcPr>
          <w:p>
            <w:pPr>
              <w:jc w:val="center"/>
              <w:rPr>
                <w:sz w:val="21"/>
                <w:szCs w:val="21"/>
                <w:highlight w:val="none"/>
              </w:rPr>
            </w:pPr>
          </w:p>
        </w:tc>
        <w:tc>
          <w:tcPr>
            <w:tcW w:w="1882" w:type="dxa"/>
            <w:shd w:val="clear" w:color="auto" w:fill="auto"/>
            <w:vAlign w:val="top"/>
          </w:tcPr>
          <w:p>
            <w:pPr>
              <w:pStyle w:val="35"/>
              <w:spacing w:before="1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机械设备</w:t>
            </w:r>
          </w:p>
        </w:tc>
        <w:tc>
          <w:tcPr>
            <w:tcW w:w="6442" w:type="dxa"/>
            <w:shd w:val="clear" w:color="auto" w:fill="auto"/>
            <w:vAlign w:val="top"/>
          </w:tcPr>
          <w:p>
            <w:pPr>
              <w:pStyle w:val="35"/>
              <w:spacing w:before="18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拟投入本项目的机械设备:1.拟投入洒水车/绿化喷酒车(核定载质量9吨或以上)，每提供一辆得2分，满分得2分。2.拟投入货运车(核定载质量1.2吨或以上)，每提供一辆得1分，满分得2分。3.拟投入专业园林机械设备:同时具备割灌机、草坪机、油锯和高枝油锯，得1分。设备数量不足的不得分。注：本项最高得5分，（1）机械设备须在投标文件中提供供应商购买发票（或其他证明材料）及设备照片。（2）车辆须提供供应商购买发票（或其他证明材料）、行驶证、车辆照片等相关材料复印件加盖供应商公章，不提供不得分。（3）如机械设备、车辆为租赁，需提供租赁合同及发票等相关材料复印件加盖供应商公章，不提供不得分。</w:t>
            </w:r>
          </w:p>
        </w:tc>
        <w:tc>
          <w:tcPr>
            <w:tcW w:w="767" w:type="dxa"/>
            <w:shd w:val="clear" w:color="auto" w:fill="auto"/>
            <w:vAlign w:val="center"/>
          </w:tcPr>
          <w:p>
            <w:pPr>
              <w:pStyle w:val="35"/>
              <w:spacing w:before="1"/>
              <w:ind w:left="137" w:right="131"/>
              <w:jc w:val="center"/>
              <w:rPr>
                <w:sz w:val="21"/>
                <w:szCs w:val="21"/>
                <w:highlight w:val="none"/>
              </w:rPr>
            </w:pPr>
            <w:r>
              <w:rPr>
                <w:rFonts w:hint="eastAsia"/>
                <w:sz w:val="21"/>
                <w:szCs w:val="21"/>
                <w:highlight w:val="none"/>
                <w:lang w:val="en-US" w:eastAsia="zh-CN"/>
              </w:rPr>
              <w:t>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8" w:hRule="atLeast"/>
          <w:jc w:val="center"/>
        </w:trPr>
        <w:tc>
          <w:tcPr>
            <w:tcW w:w="2820" w:type="dxa"/>
            <w:gridSpan w:val="2"/>
            <w:shd w:val="clear" w:color="auto" w:fill="auto"/>
            <w:vAlign w:val="center"/>
          </w:tcPr>
          <w:p>
            <w:pPr>
              <w:pStyle w:val="35"/>
              <w:ind w:left="106" w:right="97"/>
              <w:jc w:val="center"/>
              <w:rPr>
                <w:spacing w:val="-9"/>
                <w:sz w:val="21"/>
                <w:szCs w:val="21"/>
                <w:highlight w:val="none"/>
              </w:rPr>
            </w:pPr>
          </w:p>
          <w:p>
            <w:pPr>
              <w:pStyle w:val="35"/>
              <w:ind w:left="106" w:right="97"/>
              <w:jc w:val="center"/>
              <w:rPr>
                <w:spacing w:val="-9"/>
                <w:sz w:val="21"/>
                <w:szCs w:val="21"/>
                <w:highlight w:val="none"/>
              </w:rPr>
            </w:pPr>
            <w:r>
              <w:rPr>
                <w:rFonts w:hint="eastAsia"/>
                <w:spacing w:val="-9"/>
                <w:sz w:val="21"/>
                <w:szCs w:val="21"/>
                <w:highlight w:val="none"/>
              </w:rPr>
              <w:t>价格评分（</w:t>
            </w:r>
            <w:r>
              <w:rPr>
                <w:rFonts w:hint="eastAsia"/>
                <w:spacing w:val="-9"/>
                <w:sz w:val="21"/>
                <w:szCs w:val="21"/>
                <w:highlight w:val="none"/>
                <w:lang w:val="en-US" w:eastAsia="zh-CN"/>
              </w:rPr>
              <w:t>25</w:t>
            </w:r>
            <w:r>
              <w:rPr>
                <w:rFonts w:hint="eastAsia"/>
                <w:spacing w:val="-9"/>
                <w:sz w:val="21"/>
                <w:szCs w:val="21"/>
                <w:highlight w:val="none"/>
              </w:rPr>
              <w:t>分）</w:t>
            </w:r>
          </w:p>
        </w:tc>
        <w:tc>
          <w:tcPr>
            <w:tcW w:w="6442" w:type="dxa"/>
            <w:shd w:val="clear" w:color="auto" w:fill="auto"/>
            <w:vAlign w:val="center"/>
          </w:tcPr>
          <w:p>
            <w:pPr>
              <w:pStyle w:val="35"/>
              <w:ind w:left="106" w:right="97"/>
              <w:jc w:val="left"/>
              <w:rPr>
                <w:spacing w:val="-9"/>
                <w:sz w:val="21"/>
                <w:szCs w:val="21"/>
                <w:highlight w:val="none"/>
              </w:rPr>
            </w:pPr>
            <w:r>
              <w:rPr>
                <w:rFonts w:hint="eastAsia"/>
                <w:spacing w:val="-9"/>
                <w:sz w:val="21"/>
                <w:szCs w:val="21"/>
                <w:highlight w:val="none"/>
              </w:rPr>
              <w:t>价格评分：满足</w:t>
            </w:r>
            <w:r>
              <w:rPr>
                <w:rFonts w:hint="eastAsia"/>
                <w:spacing w:val="-9"/>
                <w:sz w:val="21"/>
                <w:szCs w:val="21"/>
                <w:highlight w:val="none"/>
                <w:lang w:val="en-US" w:eastAsia="zh-CN"/>
              </w:rPr>
              <w:t>采购</w:t>
            </w:r>
            <w:r>
              <w:rPr>
                <w:rFonts w:hint="eastAsia"/>
                <w:spacing w:val="-9"/>
                <w:sz w:val="21"/>
                <w:szCs w:val="21"/>
                <w:highlight w:val="none"/>
              </w:rPr>
              <w:t>文件要求的报价价格最低的报价为评审基准价，其价格分为满分</w:t>
            </w:r>
            <w:r>
              <w:rPr>
                <w:rFonts w:hint="eastAsia"/>
                <w:spacing w:val="-9"/>
                <w:sz w:val="21"/>
                <w:szCs w:val="21"/>
                <w:highlight w:val="none"/>
                <w:lang w:val="en-US" w:eastAsia="zh-CN"/>
              </w:rPr>
              <w:t>25</w:t>
            </w:r>
            <w:r>
              <w:rPr>
                <w:rFonts w:hint="eastAsia"/>
                <w:spacing w:val="-9"/>
                <w:sz w:val="21"/>
                <w:szCs w:val="21"/>
                <w:highlight w:val="none"/>
              </w:rPr>
              <w:t>分，其他供应商的价格分统一按照下列公式计算：</w:t>
            </w:r>
          </w:p>
          <w:p>
            <w:pPr>
              <w:pStyle w:val="35"/>
              <w:ind w:left="106" w:right="97"/>
              <w:jc w:val="left"/>
              <w:rPr>
                <w:rFonts w:hint="default" w:eastAsia="宋体"/>
                <w:spacing w:val="-9"/>
                <w:sz w:val="21"/>
                <w:szCs w:val="21"/>
                <w:highlight w:val="none"/>
                <w:lang w:val="en-US" w:eastAsia="zh-CN"/>
              </w:rPr>
            </w:pPr>
            <w:r>
              <w:rPr>
                <w:rFonts w:hint="eastAsia"/>
                <w:spacing w:val="-9"/>
                <w:sz w:val="21"/>
                <w:szCs w:val="21"/>
                <w:highlight w:val="none"/>
              </w:rPr>
              <w:t>报价得分＝（评标基准价÷</w:t>
            </w:r>
            <w:r>
              <w:rPr>
                <w:rFonts w:hint="eastAsia"/>
                <w:spacing w:val="-9"/>
                <w:sz w:val="21"/>
                <w:szCs w:val="21"/>
                <w:highlight w:val="none"/>
                <w:lang w:eastAsia="zh-CN"/>
              </w:rPr>
              <w:t>投标供应商</w:t>
            </w:r>
            <w:r>
              <w:rPr>
                <w:rFonts w:hint="eastAsia"/>
                <w:spacing w:val="-9"/>
                <w:sz w:val="21"/>
                <w:szCs w:val="21"/>
                <w:highlight w:val="none"/>
              </w:rPr>
              <w:t>报价）×</w:t>
            </w:r>
            <w:r>
              <w:rPr>
                <w:rFonts w:hint="eastAsia"/>
                <w:spacing w:val="-9"/>
                <w:sz w:val="21"/>
                <w:szCs w:val="21"/>
                <w:highlight w:val="none"/>
                <w:lang w:val="en-US" w:eastAsia="zh-CN"/>
              </w:rPr>
              <w:t>25</w:t>
            </w:r>
          </w:p>
        </w:tc>
        <w:tc>
          <w:tcPr>
            <w:tcW w:w="767" w:type="dxa"/>
            <w:shd w:val="clear" w:color="auto" w:fill="auto"/>
            <w:vAlign w:val="center"/>
          </w:tcPr>
          <w:p>
            <w:pPr>
              <w:pStyle w:val="35"/>
              <w:jc w:val="center"/>
              <w:rPr>
                <w:b/>
                <w:sz w:val="21"/>
                <w:szCs w:val="21"/>
                <w:highlight w:val="none"/>
              </w:rPr>
            </w:pPr>
          </w:p>
          <w:p>
            <w:pPr>
              <w:pStyle w:val="35"/>
              <w:spacing w:before="151"/>
              <w:ind w:left="137" w:right="131"/>
              <w:jc w:val="center"/>
              <w:rPr>
                <w:sz w:val="21"/>
                <w:szCs w:val="21"/>
                <w:highlight w:val="none"/>
              </w:rPr>
            </w:pPr>
            <w:r>
              <w:rPr>
                <w:rFonts w:hint="eastAsia"/>
                <w:sz w:val="21"/>
                <w:szCs w:val="21"/>
                <w:highlight w:val="none"/>
                <w:lang w:val="en-US" w:eastAsia="zh-CN"/>
              </w:rPr>
              <w:t>25</w:t>
            </w:r>
            <w:r>
              <w:rPr>
                <w:rFonts w:hint="eastAsia"/>
                <w:sz w:val="21"/>
                <w:szCs w:val="21"/>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10029" w:type="dxa"/>
            <w:gridSpan w:val="4"/>
            <w:shd w:val="clear" w:color="auto" w:fill="auto"/>
            <w:vAlign w:val="center"/>
          </w:tcPr>
          <w:p>
            <w:pPr>
              <w:pStyle w:val="35"/>
              <w:spacing w:before="151"/>
              <w:ind w:left="137" w:right="131"/>
              <w:jc w:val="both"/>
              <w:rPr>
                <w:sz w:val="21"/>
                <w:szCs w:val="21"/>
                <w:highlight w:val="none"/>
                <w:lang w:val="en-US" w:eastAsia="zh-CN"/>
              </w:rPr>
            </w:pPr>
            <w:r>
              <w:rPr>
                <w:rFonts w:hint="eastAsia"/>
                <w:b/>
                <w:bCs/>
                <w:sz w:val="21"/>
                <w:szCs w:val="21"/>
                <w:highlight w:val="none"/>
              </w:rPr>
              <w:t>注：</w:t>
            </w:r>
            <w:r>
              <w:rPr>
                <w:rFonts w:hint="eastAsia"/>
                <w:sz w:val="21"/>
                <w:szCs w:val="21"/>
                <w:highlight w:val="none"/>
              </w:rPr>
              <w:t>若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bl>
    <w:p>
      <w:pPr>
        <w:pStyle w:val="11"/>
        <w:rPr>
          <w:b/>
          <w:highlight w:val="none"/>
        </w:rPr>
        <w:sectPr>
          <w:pgSz w:w="11910" w:h="16840"/>
          <w:pgMar w:top="1440" w:right="1080" w:bottom="1440" w:left="1080" w:header="0" w:footer="995" w:gutter="0"/>
          <w:cols w:space="720" w:num="1"/>
        </w:sectPr>
      </w:pPr>
    </w:p>
    <w:p>
      <w:pPr>
        <w:spacing w:line="360" w:lineRule="auto"/>
        <w:jc w:val="both"/>
        <w:rPr>
          <w:bCs/>
          <w:sz w:val="24"/>
          <w:szCs w:val="24"/>
          <w:highlight w:val="none"/>
        </w:rPr>
      </w:pPr>
    </w:p>
    <w:p>
      <w:pPr>
        <w:pStyle w:val="34"/>
        <w:numPr>
          <w:ilvl w:val="1"/>
          <w:numId w:val="2"/>
        </w:numPr>
        <w:tabs>
          <w:tab w:val="left" w:pos="0"/>
          <w:tab w:val="clear" w:pos="210"/>
        </w:tabs>
        <w:spacing w:line="500" w:lineRule="exact"/>
        <w:ind w:left="0" w:firstLine="480" w:firstLineChars="200"/>
        <w:rPr>
          <w:snapToGrid w:val="0"/>
          <w:sz w:val="24"/>
          <w:szCs w:val="24"/>
          <w:highlight w:val="none"/>
        </w:rPr>
      </w:pPr>
      <w:r>
        <w:rPr>
          <w:rFonts w:hint="eastAsia"/>
          <w:snapToGrid w:val="0"/>
          <w:sz w:val="24"/>
          <w:szCs w:val="24"/>
          <w:highlight w:val="none"/>
        </w:rPr>
        <w:t>技术评定</w:t>
      </w:r>
    </w:p>
    <w:p>
      <w:pPr>
        <w:pStyle w:val="34"/>
        <w:tabs>
          <w:tab w:val="left" w:pos="0"/>
        </w:tabs>
        <w:spacing w:line="500" w:lineRule="exact"/>
        <w:ind w:left="0" w:firstLine="460" w:firstLineChars="200"/>
        <w:rPr>
          <w:sz w:val="24"/>
          <w:szCs w:val="24"/>
          <w:highlight w:val="none"/>
        </w:rPr>
      </w:pPr>
      <w:r>
        <w:rPr>
          <w:rFonts w:hint="eastAsia"/>
          <w:spacing w:val="-5"/>
          <w:sz w:val="24"/>
          <w:szCs w:val="24"/>
          <w:highlight w:val="none"/>
          <w:lang w:val="en-US" w:eastAsia="zh-CN"/>
        </w:rPr>
        <w:t>（1）</w:t>
      </w:r>
      <w:r>
        <w:rPr>
          <w:rFonts w:hint="eastAsia"/>
          <w:spacing w:val="-5"/>
          <w:sz w:val="24"/>
          <w:szCs w:val="24"/>
          <w:highlight w:val="none"/>
        </w:rPr>
        <w:t>由</w:t>
      </w:r>
      <w:r>
        <w:rPr>
          <w:rFonts w:hint="eastAsia"/>
          <w:spacing w:val="-5"/>
          <w:sz w:val="24"/>
          <w:szCs w:val="24"/>
          <w:highlight w:val="none"/>
          <w:lang w:val="en-US" w:eastAsia="zh-CN"/>
        </w:rPr>
        <w:t>评审</w:t>
      </w:r>
      <w:r>
        <w:rPr>
          <w:rFonts w:hint="eastAsia"/>
          <w:spacing w:val="-5"/>
          <w:sz w:val="24"/>
          <w:szCs w:val="24"/>
          <w:highlight w:val="none"/>
        </w:rPr>
        <w:t>小组对所有响应文件的技术部分的响应和指标进行审核和分析；对响应文件中文</w:t>
      </w:r>
      <w:r>
        <w:rPr>
          <w:rFonts w:hint="eastAsia"/>
          <w:spacing w:val="-6"/>
          <w:sz w:val="24"/>
          <w:szCs w:val="24"/>
          <w:highlight w:val="none"/>
        </w:rPr>
        <w:t>字说明和指标响应进行评分，填写《技术评分表》。</w:t>
      </w:r>
    </w:p>
    <w:p>
      <w:pPr>
        <w:pStyle w:val="34"/>
        <w:tabs>
          <w:tab w:val="left" w:pos="0"/>
        </w:tabs>
        <w:spacing w:line="500" w:lineRule="exact"/>
        <w:ind w:left="0" w:firstLine="460" w:firstLineChars="200"/>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rFonts w:hint="eastAsia"/>
          <w:spacing w:val="-5"/>
          <w:sz w:val="24"/>
          <w:szCs w:val="24"/>
          <w:highlight w:val="none"/>
        </w:rPr>
        <w:t>将每一个</w:t>
      </w:r>
      <w:r>
        <w:rPr>
          <w:rFonts w:hint="eastAsia"/>
          <w:spacing w:val="-5"/>
          <w:sz w:val="24"/>
          <w:szCs w:val="24"/>
          <w:highlight w:val="none"/>
          <w:lang w:val="en-US" w:eastAsia="zh-CN"/>
        </w:rPr>
        <w:t>评审</w:t>
      </w:r>
      <w:r>
        <w:rPr>
          <w:rFonts w:hint="eastAsia"/>
          <w:spacing w:val="-5"/>
          <w:sz w:val="24"/>
          <w:szCs w:val="24"/>
          <w:highlight w:val="none"/>
        </w:rPr>
        <w:t>小组成员的评分汇集，取全部评分的算术平均值，为该供应商的技术评定</w:t>
      </w:r>
      <w:r>
        <w:rPr>
          <w:rFonts w:hint="eastAsia"/>
          <w:sz w:val="24"/>
          <w:szCs w:val="24"/>
          <w:highlight w:val="none"/>
        </w:rPr>
        <w:t>得分。</w:t>
      </w:r>
    </w:p>
    <w:p>
      <w:pPr>
        <w:pStyle w:val="34"/>
        <w:numPr>
          <w:ilvl w:val="1"/>
          <w:numId w:val="2"/>
        </w:numPr>
        <w:tabs>
          <w:tab w:val="left" w:pos="0"/>
          <w:tab w:val="clear" w:pos="210"/>
        </w:tabs>
        <w:spacing w:line="500" w:lineRule="exact"/>
        <w:ind w:left="0" w:firstLine="480" w:firstLineChars="200"/>
        <w:rPr>
          <w:snapToGrid w:val="0"/>
          <w:sz w:val="24"/>
          <w:szCs w:val="24"/>
          <w:highlight w:val="none"/>
        </w:rPr>
      </w:pPr>
      <w:r>
        <w:rPr>
          <w:rFonts w:hint="eastAsia"/>
          <w:snapToGrid w:val="0"/>
          <w:sz w:val="24"/>
          <w:szCs w:val="24"/>
          <w:highlight w:val="none"/>
        </w:rPr>
        <w:t>商务评定</w:t>
      </w:r>
    </w:p>
    <w:p>
      <w:pPr>
        <w:pStyle w:val="34"/>
        <w:numPr>
          <w:ilvl w:val="0"/>
          <w:numId w:val="9"/>
        </w:numPr>
        <w:tabs>
          <w:tab w:val="left" w:pos="0"/>
        </w:tabs>
        <w:spacing w:line="500" w:lineRule="exact"/>
        <w:ind w:left="0" w:firstLine="460" w:firstLineChars="200"/>
        <w:rPr>
          <w:spacing w:val="-5"/>
          <w:sz w:val="24"/>
          <w:szCs w:val="24"/>
          <w:highlight w:val="none"/>
        </w:rPr>
      </w:pPr>
      <w:r>
        <w:rPr>
          <w:rFonts w:hint="eastAsia"/>
          <w:spacing w:val="-5"/>
          <w:sz w:val="24"/>
          <w:szCs w:val="24"/>
          <w:highlight w:val="none"/>
        </w:rPr>
        <w:t>由</w:t>
      </w:r>
      <w:r>
        <w:rPr>
          <w:rFonts w:hint="eastAsia"/>
          <w:spacing w:val="-5"/>
          <w:sz w:val="24"/>
          <w:szCs w:val="24"/>
          <w:highlight w:val="none"/>
          <w:lang w:val="en-US" w:eastAsia="zh-CN"/>
        </w:rPr>
        <w:t>评审</w:t>
      </w:r>
      <w:r>
        <w:rPr>
          <w:rFonts w:hint="eastAsia"/>
          <w:spacing w:val="-5"/>
          <w:sz w:val="24"/>
          <w:szCs w:val="24"/>
          <w:highlight w:val="none"/>
        </w:rPr>
        <w:t>小组评价每个供应商的商务条件，填写《商务评分表》。</w:t>
      </w:r>
    </w:p>
    <w:p>
      <w:pPr>
        <w:pStyle w:val="34"/>
        <w:numPr>
          <w:ilvl w:val="0"/>
          <w:numId w:val="9"/>
        </w:numPr>
        <w:tabs>
          <w:tab w:val="left" w:pos="0"/>
        </w:tabs>
        <w:spacing w:line="500" w:lineRule="exact"/>
        <w:ind w:left="0" w:firstLine="460" w:firstLineChars="200"/>
        <w:rPr>
          <w:spacing w:val="-5"/>
          <w:sz w:val="24"/>
          <w:szCs w:val="24"/>
          <w:highlight w:val="none"/>
        </w:rPr>
      </w:pPr>
      <w:r>
        <w:rPr>
          <w:rFonts w:hint="eastAsia"/>
          <w:spacing w:val="-5"/>
          <w:sz w:val="24"/>
          <w:szCs w:val="24"/>
          <w:highlight w:val="none"/>
        </w:rPr>
        <w:t>将每一个</w:t>
      </w:r>
      <w:r>
        <w:rPr>
          <w:rFonts w:hint="eastAsia"/>
          <w:spacing w:val="-5"/>
          <w:sz w:val="24"/>
          <w:szCs w:val="24"/>
          <w:highlight w:val="none"/>
          <w:lang w:val="en-US" w:eastAsia="zh-CN"/>
        </w:rPr>
        <w:t>评审</w:t>
      </w:r>
      <w:r>
        <w:rPr>
          <w:rFonts w:hint="eastAsia"/>
          <w:spacing w:val="-5"/>
          <w:sz w:val="24"/>
          <w:szCs w:val="24"/>
          <w:highlight w:val="none"/>
        </w:rPr>
        <w:t>小组成员的评分汇集，取全部评分的算术平均值，为该供应商的商务评定得分。</w:t>
      </w:r>
    </w:p>
    <w:p>
      <w:pPr>
        <w:pStyle w:val="34"/>
        <w:numPr>
          <w:ilvl w:val="0"/>
          <w:numId w:val="9"/>
        </w:numPr>
        <w:tabs>
          <w:tab w:val="left" w:pos="0"/>
        </w:tabs>
        <w:spacing w:line="500" w:lineRule="exact"/>
        <w:ind w:left="0" w:firstLine="460" w:firstLineChars="200"/>
        <w:rPr>
          <w:spacing w:val="-5"/>
          <w:sz w:val="24"/>
          <w:szCs w:val="24"/>
          <w:highlight w:val="none"/>
        </w:rPr>
      </w:pPr>
      <w:r>
        <w:rPr>
          <w:rFonts w:hint="eastAsia"/>
          <w:spacing w:val="-5"/>
          <w:sz w:val="24"/>
          <w:szCs w:val="24"/>
          <w:highlight w:val="none"/>
        </w:rPr>
        <w:t>报价评定</w:t>
      </w:r>
    </w:p>
    <w:p>
      <w:pPr>
        <w:pStyle w:val="34"/>
        <w:numPr>
          <w:ilvl w:val="0"/>
          <w:numId w:val="10"/>
        </w:numPr>
        <w:tabs>
          <w:tab w:val="left" w:pos="0"/>
        </w:tabs>
        <w:spacing w:line="500" w:lineRule="exact"/>
        <w:ind w:left="0" w:firstLine="480" w:firstLineChars="200"/>
        <w:rPr>
          <w:sz w:val="24"/>
          <w:szCs w:val="24"/>
          <w:highlight w:val="none"/>
        </w:rPr>
      </w:pPr>
      <w:r>
        <w:rPr>
          <w:rFonts w:hint="eastAsia"/>
          <w:sz w:val="24"/>
          <w:szCs w:val="24"/>
          <w:highlight w:val="none"/>
        </w:rPr>
        <w:t>价格核准：各入围供应商的最终报价。</w:t>
      </w:r>
    </w:p>
    <w:p>
      <w:pPr>
        <w:pStyle w:val="34"/>
        <w:numPr>
          <w:ilvl w:val="0"/>
          <w:numId w:val="10"/>
        </w:numPr>
        <w:tabs>
          <w:tab w:val="left" w:pos="0"/>
        </w:tabs>
        <w:spacing w:line="500" w:lineRule="exact"/>
        <w:ind w:left="0" w:firstLine="440" w:firstLineChars="200"/>
        <w:rPr>
          <w:spacing w:val="-7"/>
          <w:sz w:val="24"/>
          <w:szCs w:val="24"/>
          <w:highlight w:val="none"/>
        </w:rPr>
      </w:pPr>
      <w:r>
        <w:rPr>
          <w:rFonts w:hint="eastAsia"/>
          <w:spacing w:val="-10"/>
          <w:sz w:val="24"/>
          <w:szCs w:val="24"/>
          <w:highlight w:val="none"/>
        </w:rPr>
        <w:t>价格评分：满足</w:t>
      </w:r>
      <w:r>
        <w:rPr>
          <w:rFonts w:hint="eastAsia"/>
          <w:spacing w:val="-10"/>
          <w:sz w:val="24"/>
          <w:szCs w:val="24"/>
          <w:highlight w:val="none"/>
          <w:lang w:val="en-US" w:eastAsia="zh-CN"/>
        </w:rPr>
        <w:t>采购</w:t>
      </w:r>
      <w:r>
        <w:rPr>
          <w:rFonts w:hint="eastAsia"/>
          <w:spacing w:val="-10"/>
          <w:sz w:val="24"/>
          <w:szCs w:val="24"/>
          <w:highlight w:val="none"/>
        </w:rPr>
        <w:t>文件要求的</w:t>
      </w:r>
      <w:r>
        <w:rPr>
          <w:rFonts w:hint="eastAsia"/>
          <w:b/>
          <w:bCs/>
          <w:spacing w:val="-10"/>
          <w:sz w:val="24"/>
          <w:szCs w:val="24"/>
          <w:highlight w:val="none"/>
        </w:rPr>
        <w:t>报价价格最低的报价</w:t>
      </w:r>
      <w:r>
        <w:rPr>
          <w:rFonts w:hint="eastAsia"/>
          <w:spacing w:val="-10"/>
          <w:sz w:val="24"/>
          <w:szCs w:val="24"/>
          <w:highlight w:val="none"/>
        </w:rPr>
        <w:t>为评审</w:t>
      </w:r>
      <w:r>
        <w:rPr>
          <w:rFonts w:hint="eastAsia"/>
          <w:spacing w:val="-5"/>
          <w:sz w:val="24"/>
          <w:szCs w:val="24"/>
          <w:highlight w:val="none"/>
        </w:rPr>
        <w:t>基准价，其价格分为满分</w:t>
      </w:r>
      <w:r>
        <w:rPr>
          <w:rFonts w:hint="eastAsia"/>
          <w:sz w:val="24"/>
          <w:szCs w:val="24"/>
          <w:highlight w:val="none"/>
          <w:lang w:val="en-US" w:eastAsia="zh-CN"/>
        </w:rPr>
        <w:t>25</w:t>
      </w:r>
      <w:r>
        <w:rPr>
          <w:rFonts w:hint="eastAsia"/>
          <w:spacing w:val="-8"/>
          <w:sz w:val="24"/>
          <w:szCs w:val="24"/>
          <w:highlight w:val="none"/>
        </w:rPr>
        <w:t>分，其他供应商的价格分统一按照下列公式</w:t>
      </w:r>
      <w:r>
        <w:rPr>
          <w:rFonts w:hint="eastAsia"/>
          <w:spacing w:val="-7"/>
          <w:sz w:val="24"/>
          <w:szCs w:val="24"/>
          <w:highlight w:val="none"/>
        </w:rPr>
        <w:t>计算：</w:t>
      </w:r>
    </w:p>
    <w:p>
      <w:pPr>
        <w:pStyle w:val="11"/>
        <w:tabs>
          <w:tab w:val="left" w:pos="0"/>
        </w:tabs>
        <w:spacing w:line="500" w:lineRule="exact"/>
        <w:jc w:val="center"/>
        <w:rPr>
          <w:rFonts w:hint="default" w:eastAsia="宋体"/>
          <w:highlight w:val="none"/>
          <w:lang w:val="en-US" w:eastAsia="zh-CN"/>
        </w:rPr>
      </w:pPr>
      <w:r>
        <w:rPr>
          <w:rFonts w:hint="eastAsia"/>
          <w:spacing w:val="-7"/>
          <w:highlight w:val="none"/>
        </w:rPr>
        <w:t>报价得分＝（评审基准价÷</w:t>
      </w:r>
      <w:r>
        <w:rPr>
          <w:rFonts w:hint="eastAsia"/>
          <w:spacing w:val="-7"/>
          <w:highlight w:val="none"/>
          <w:lang w:eastAsia="zh-CN"/>
        </w:rPr>
        <w:t>投标供应商</w:t>
      </w:r>
      <w:r>
        <w:rPr>
          <w:rFonts w:hint="eastAsia"/>
          <w:spacing w:val="-7"/>
          <w:highlight w:val="none"/>
        </w:rPr>
        <w:t>报价）</w:t>
      </w:r>
      <w:r>
        <w:rPr>
          <w:rFonts w:hint="eastAsia"/>
          <w:highlight w:val="none"/>
        </w:rPr>
        <w:t>×</w:t>
      </w:r>
      <w:r>
        <w:rPr>
          <w:rFonts w:hint="eastAsia"/>
          <w:highlight w:val="none"/>
          <w:lang w:val="en-US" w:eastAsia="zh-CN"/>
        </w:rPr>
        <w:t>25</w:t>
      </w:r>
    </w:p>
    <w:p>
      <w:pPr>
        <w:pStyle w:val="34"/>
        <w:numPr>
          <w:ilvl w:val="1"/>
          <w:numId w:val="2"/>
        </w:numPr>
        <w:tabs>
          <w:tab w:val="left" w:pos="0"/>
          <w:tab w:val="clear" w:pos="210"/>
        </w:tabs>
        <w:spacing w:line="500" w:lineRule="exact"/>
        <w:ind w:left="0" w:firstLine="480" w:firstLineChars="200"/>
        <w:rPr>
          <w:snapToGrid w:val="0"/>
          <w:sz w:val="24"/>
          <w:szCs w:val="24"/>
          <w:highlight w:val="none"/>
        </w:rPr>
      </w:pPr>
      <w:r>
        <w:rPr>
          <w:rFonts w:hint="eastAsia"/>
          <w:snapToGrid w:val="0"/>
          <w:sz w:val="24"/>
          <w:szCs w:val="24"/>
          <w:highlight w:val="none"/>
        </w:rPr>
        <w:t>综合评估分的计算</w:t>
      </w:r>
    </w:p>
    <w:p>
      <w:pPr>
        <w:pStyle w:val="8"/>
        <w:numPr>
          <w:ilvl w:val="0"/>
          <w:numId w:val="11"/>
        </w:numPr>
        <w:tabs>
          <w:tab w:val="left" w:pos="0"/>
        </w:tabs>
        <w:spacing w:line="500" w:lineRule="exact"/>
        <w:ind w:left="0" w:firstLine="481" w:firstLineChars="200"/>
        <w:rPr>
          <w:highlight w:val="none"/>
        </w:rPr>
      </w:pPr>
      <w:r>
        <w:rPr>
          <w:rFonts w:hint="eastAsia"/>
          <w:highlight w:val="none"/>
        </w:rPr>
        <w:t>综合评估分=技术得分+商务得分+报价得分；</w:t>
      </w:r>
    </w:p>
    <w:p>
      <w:pPr>
        <w:pStyle w:val="34"/>
        <w:numPr>
          <w:ilvl w:val="0"/>
          <w:numId w:val="11"/>
        </w:numPr>
        <w:tabs>
          <w:tab w:val="left" w:pos="0"/>
        </w:tabs>
        <w:spacing w:line="500" w:lineRule="exact"/>
        <w:ind w:left="0" w:firstLine="480" w:firstLineChars="200"/>
        <w:rPr>
          <w:sz w:val="24"/>
          <w:szCs w:val="24"/>
          <w:highlight w:val="none"/>
        </w:rPr>
      </w:pPr>
      <w:r>
        <w:rPr>
          <w:rFonts w:hint="eastAsia"/>
          <w:sz w:val="24"/>
          <w:szCs w:val="24"/>
          <w:highlight w:val="none"/>
        </w:rPr>
        <w:t>在评审过程中所有计算结果均精确到小数点后</w:t>
      </w:r>
      <w:r>
        <w:rPr>
          <w:rFonts w:hint="eastAsia"/>
          <w:sz w:val="24"/>
          <w:szCs w:val="24"/>
          <w:highlight w:val="none"/>
          <w:lang w:eastAsia="zh-CN"/>
        </w:rPr>
        <w:t>两</w:t>
      </w:r>
      <w:r>
        <w:rPr>
          <w:rFonts w:hint="eastAsia"/>
          <w:sz w:val="24"/>
          <w:szCs w:val="24"/>
          <w:highlight w:val="none"/>
        </w:rPr>
        <w:t>位，第</w:t>
      </w:r>
      <w:r>
        <w:rPr>
          <w:rFonts w:hint="eastAsia"/>
          <w:sz w:val="24"/>
          <w:szCs w:val="24"/>
          <w:highlight w:val="none"/>
          <w:lang w:eastAsia="zh-CN"/>
        </w:rPr>
        <w:t>三</w:t>
      </w:r>
      <w:r>
        <w:rPr>
          <w:rFonts w:hint="eastAsia"/>
          <w:sz w:val="24"/>
          <w:szCs w:val="24"/>
          <w:highlight w:val="none"/>
        </w:rPr>
        <w:t>位小数四舍五入；</w:t>
      </w:r>
    </w:p>
    <w:p>
      <w:pPr>
        <w:pStyle w:val="34"/>
        <w:numPr>
          <w:ilvl w:val="0"/>
          <w:numId w:val="11"/>
        </w:numPr>
        <w:tabs>
          <w:tab w:val="left" w:pos="0"/>
        </w:tabs>
        <w:spacing w:line="500" w:lineRule="exact"/>
        <w:ind w:left="0" w:firstLine="476" w:firstLineChars="200"/>
        <w:rPr>
          <w:sz w:val="24"/>
          <w:szCs w:val="24"/>
          <w:highlight w:val="none"/>
        </w:rPr>
      </w:pPr>
      <w:r>
        <w:rPr>
          <w:rFonts w:hint="eastAsia"/>
          <w:spacing w:val="-1"/>
          <w:sz w:val="24"/>
          <w:szCs w:val="24"/>
          <w:highlight w:val="none"/>
        </w:rPr>
        <w:t>将综合评估分从高到低排出名次，总分第一名为第一成交候选人，第二名为第二成交候</w:t>
      </w:r>
      <w:r>
        <w:rPr>
          <w:rFonts w:hint="eastAsia"/>
          <w:spacing w:val="-8"/>
          <w:sz w:val="24"/>
          <w:szCs w:val="24"/>
          <w:highlight w:val="none"/>
        </w:rPr>
        <w:t>选人，以此类推</w:t>
      </w:r>
      <w:r>
        <w:rPr>
          <w:rFonts w:hint="eastAsia"/>
          <w:sz w:val="24"/>
          <w:szCs w:val="24"/>
          <w:highlight w:val="none"/>
        </w:rPr>
        <w:t>（</w:t>
      </w:r>
      <w:r>
        <w:rPr>
          <w:rFonts w:hint="eastAsia"/>
          <w:spacing w:val="-5"/>
          <w:sz w:val="24"/>
          <w:szCs w:val="24"/>
          <w:highlight w:val="none"/>
        </w:rPr>
        <w:t>评审得分相同的，按照最后报价由低到高的顺序推荐。评审得分且最后</w:t>
      </w:r>
      <w:r>
        <w:rPr>
          <w:rFonts w:hint="eastAsia"/>
          <w:sz w:val="24"/>
          <w:szCs w:val="24"/>
          <w:highlight w:val="none"/>
        </w:rPr>
        <w:t>报价相同的，按照技术指标优劣顺序推荐）。</w:t>
      </w:r>
    </w:p>
    <w:p>
      <w:pPr>
        <w:pStyle w:val="34"/>
        <w:numPr>
          <w:ilvl w:val="1"/>
          <w:numId w:val="2"/>
        </w:numPr>
        <w:tabs>
          <w:tab w:val="left" w:pos="0"/>
          <w:tab w:val="clear" w:pos="210"/>
        </w:tabs>
        <w:spacing w:line="500" w:lineRule="exact"/>
        <w:ind w:left="0" w:firstLine="480" w:firstLineChars="200"/>
        <w:rPr>
          <w:snapToGrid w:val="0"/>
          <w:sz w:val="24"/>
          <w:szCs w:val="24"/>
          <w:highlight w:val="none"/>
        </w:rPr>
      </w:pPr>
      <w:r>
        <w:rPr>
          <w:rFonts w:hint="eastAsia"/>
          <w:snapToGrid w:val="0"/>
          <w:sz w:val="24"/>
          <w:szCs w:val="24"/>
          <w:highlight w:val="none"/>
        </w:rPr>
        <w:t>确定成交供应商办法：采购人从评审报告提出的成交候选人中，根据成交候选人的排序，确认排名最前的一名候选人为成交供应商。</w:t>
      </w:r>
    </w:p>
    <w:p>
      <w:pPr>
        <w:pStyle w:val="34"/>
        <w:numPr>
          <w:ilvl w:val="1"/>
          <w:numId w:val="2"/>
        </w:numPr>
        <w:tabs>
          <w:tab w:val="left" w:pos="0"/>
          <w:tab w:val="clear" w:pos="210"/>
        </w:tabs>
        <w:spacing w:line="500" w:lineRule="exact"/>
        <w:ind w:left="0" w:firstLine="480" w:firstLineChars="200"/>
        <w:jc w:val="both"/>
        <w:rPr>
          <w:snapToGrid w:val="0"/>
          <w:sz w:val="24"/>
          <w:szCs w:val="24"/>
          <w:highlight w:val="none"/>
        </w:rPr>
      </w:pPr>
      <w:r>
        <w:rPr>
          <w:rFonts w:hint="eastAsia"/>
          <w:snapToGrid w:val="0"/>
          <w:sz w:val="24"/>
          <w:szCs w:val="24"/>
          <w:highlight w:val="none"/>
        </w:rPr>
        <w:t>成交人确定后，采购</w:t>
      </w:r>
      <w:r>
        <w:rPr>
          <w:rFonts w:hint="eastAsia"/>
          <w:snapToGrid w:val="0"/>
          <w:sz w:val="24"/>
          <w:szCs w:val="24"/>
          <w:highlight w:val="none"/>
          <w:lang w:val="en-US" w:eastAsia="zh-CN"/>
        </w:rPr>
        <w:t>人、</w:t>
      </w:r>
      <w:r>
        <w:rPr>
          <w:rFonts w:hint="eastAsia"/>
          <w:snapToGrid w:val="0"/>
          <w:sz w:val="24"/>
          <w:szCs w:val="24"/>
          <w:highlight w:val="none"/>
        </w:rPr>
        <w:t>代理机构将在</w:t>
      </w:r>
      <w:r>
        <w:rPr>
          <w:rFonts w:hint="eastAsia"/>
          <w:b/>
          <w:bCs/>
          <w:snapToGrid w:val="0"/>
          <w:sz w:val="24"/>
          <w:szCs w:val="24"/>
          <w:highlight w:val="none"/>
        </w:rPr>
        <w:t>“蓬江区政府网（http://www.pjq.gov.cn/）”</w:t>
      </w:r>
      <w:r>
        <w:rPr>
          <w:rFonts w:hint="eastAsia"/>
          <w:snapToGrid w:val="0"/>
          <w:sz w:val="24"/>
          <w:szCs w:val="24"/>
          <w:highlight w:val="none"/>
        </w:rPr>
        <w:t>上发布成交公告，并向成交人发出《成交通知书》，《成交通知书》对成交人和采购人具有同等法律效力。</w:t>
      </w:r>
    </w:p>
    <w:p>
      <w:pPr>
        <w:pStyle w:val="34"/>
        <w:numPr>
          <w:ilvl w:val="1"/>
          <w:numId w:val="2"/>
        </w:numPr>
        <w:tabs>
          <w:tab w:val="left" w:pos="0"/>
          <w:tab w:val="clear" w:pos="210"/>
        </w:tabs>
        <w:spacing w:line="500" w:lineRule="exact"/>
        <w:ind w:left="0" w:firstLine="480" w:firstLineChars="200"/>
        <w:rPr>
          <w:snapToGrid w:val="0"/>
          <w:sz w:val="24"/>
          <w:szCs w:val="24"/>
          <w:highlight w:val="none"/>
        </w:rPr>
      </w:pPr>
      <w:r>
        <w:rPr>
          <w:rFonts w:hint="eastAsia"/>
          <w:snapToGrid w:val="0"/>
          <w:sz w:val="24"/>
          <w:szCs w:val="24"/>
          <w:highlight w:val="none"/>
        </w:rPr>
        <w:t>成交供应商因不可抗力或者自身原因不能履行政府采购合同的，采购人可以与排位在成交供应商之后第一位的成交候选供应商签订政府采购合同，以此类推。</w:t>
      </w:r>
    </w:p>
    <w:p>
      <w:pPr>
        <w:pStyle w:val="8"/>
        <w:spacing w:line="500" w:lineRule="exact"/>
        <w:ind w:left="0"/>
        <w:rPr>
          <w:highlight w:val="none"/>
        </w:rPr>
      </w:pPr>
      <w:r>
        <w:rPr>
          <w:highlight w:val="none"/>
        </w:rPr>
        <w:t>六、质疑</w:t>
      </w:r>
    </w:p>
    <w:p>
      <w:pPr>
        <w:pStyle w:val="34"/>
        <w:numPr>
          <w:ilvl w:val="0"/>
          <w:numId w:val="2"/>
        </w:numPr>
        <w:tabs>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供应商认为采购文件、采购过程和成交、成交结果使自己的权益受到损害的，可以在知道或者应当知道其权益受到损害之日起7个工作日内，以书面形式向</w:t>
      </w:r>
      <w:r>
        <w:rPr>
          <w:rFonts w:hint="eastAsia" w:ascii="Times New Roman" w:hAnsi="Times New Roman"/>
          <w:snapToGrid w:val="0"/>
          <w:sz w:val="24"/>
          <w:szCs w:val="24"/>
          <w:highlight w:val="none"/>
          <w:lang w:eastAsia="zh-CN"/>
        </w:rPr>
        <w:t>采购代理</w:t>
      </w:r>
      <w:r>
        <w:rPr>
          <w:rFonts w:hint="eastAsia" w:ascii="Times New Roman" w:hAnsi="Times New Roman"/>
          <w:snapToGrid w:val="0"/>
          <w:sz w:val="24"/>
          <w:szCs w:val="24"/>
          <w:highlight w:val="none"/>
        </w:rPr>
        <w:t>公司提出质疑。</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提出质疑的供应商（以下简称质疑供应商）提起质疑应当符合下列条件：</w:t>
      </w:r>
    </w:p>
    <w:p>
      <w:pPr>
        <w:pStyle w:val="34"/>
        <w:numPr>
          <w:ilvl w:val="0"/>
          <w:numId w:val="12"/>
        </w:numPr>
        <w:spacing w:line="500" w:lineRule="exact"/>
        <w:ind w:left="0" w:firstLine="476" w:firstLineChars="200"/>
        <w:rPr>
          <w:sz w:val="24"/>
          <w:highlight w:val="none"/>
        </w:rPr>
      </w:pPr>
      <w:r>
        <w:rPr>
          <w:spacing w:val="-1"/>
          <w:sz w:val="24"/>
          <w:highlight w:val="none"/>
        </w:rPr>
        <w:t>质疑供应商应当是参与所质疑项目采购活动的供应商。潜在供应商已依法获取其可质</w:t>
      </w:r>
      <w:r>
        <w:rPr>
          <w:sz w:val="24"/>
          <w:highlight w:val="none"/>
        </w:rPr>
        <w:t>疑的采购文件的，可以对该文件提出质疑。</w:t>
      </w:r>
    </w:p>
    <w:p>
      <w:pPr>
        <w:pStyle w:val="34"/>
        <w:numPr>
          <w:ilvl w:val="0"/>
          <w:numId w:val="12"/>
        </w:numPr>
        <w:spacing w:line="500" w:lineRule="exact"/>
        <w:ind w:left="0" w:firstLine="480" w:firstLineChars="200"/>
        <w:rPr>
          <w:sz w:val="24"/>
          <w:highlight w:val="none"/>
        </w:rPr>
      </w:pPr>
      <w:r>
        <w:rPr>
          <w:sz w:val="24"/>
          <w:highlight w:val="none"/>
        </w:rPr>
        <w:t>以联合体形式参与的，由联合体共同提出；</w:t>
      </w:r>
    </w:p>
    <w:p>
      <w:pPr>
        <w:pStyle w:val="34"/>
        <w:numPr>
          <w:ilvl w:val="0"/>
          <w:numId w:val="12"/>
        </w:numPr>
        <w:spacing w:line="500" w:lineRule="exact"/>
        <w:ind w:left="0" w:firstLine="480" w:firstLineChars="200"/>
        <w:rPr>
          <w:sz w:val="24"/>
          <w:highlight w:val="none"/>
        </w:rPr>
      </w:pPr>
      <w:r>
        <w:rPr>
          <w:sz w:val="24"/>
          <w:highlight w:val="none"/>
        </w:rPr>
        <w:t>质疑书以及证明资料应当符合本中心政府采购供应商质疑处理办法的规定；</w:t>
      </w:r>
    </w:p>
    <w:p>
      <w:pPr>
        <w:pStyle w:val="34"/>
        <w:numPr>
          <w:ilvl w:val="0"/>
          <w:numId w:val="12"/>
        </w:numPr>
        <w:spacing w:line="500" w:lineRule="exact"/>
        <w:ind w:left="0" w:firstLine="480" w:firstLineChars="200"/>
        <w:rPr>
          <w:sz w:val="24"/>
          <w:highlight w:val="none"/>
        </w:rPr>
      </w:pPr>
      <w:r>
        <w:rPr>
          <w:sz w:val="24"/>
          <w:highlight w:val="none"/>
        </w:rPr>
        <w:t>在质疑有效期内提起质疑；</w:t>
      </w:r>
    </w:p>
    <w:p>
      <w:pPr>
        <w:pStyle w:val="34"/>
        <w:numPr>
          <w:ilvl w:val="0"/>
          <w:numId w:val="12"/>
        </w:numPr>
        <w:spacing w:line="500" w:lineRule="exact"/>
        <w:ind w:left="0" w:firstLine="480" w:firstLineChars="200"/>
        <w:rPr>
          <w:sz w:val="24"/>
          <w:highlight w:val="none"/>
        </w:rPr>
      </w:pPr>
      <w:r>
        <w:rPr>
          <w:sz w:val="24"/>
          <w:highlight w:val="none"/>
        </w:rPr>
        <w:t>政府采购监督管理部门规定的其他条件。</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供应商提出质疑应当提交质疑函和必要的证明材料。质疑函应当包括下列内容：</w:t>
      </w:r>
    </w:p>
    <w:p>
      <w:pPr>
        <w:pStyle w:val="11"/>
        <w:spacing w:line="500" w:lineRule="exact"/>
        <w:ind w:firstLine="480" w:firstLineChars="200"/>
        <w:rPr>
          <w:highlight w:val="none"/>
          <w:lang w:eastAsia="zh-CN"/>
        </w:rPr>
      </w:pPr>
      <w:r>
        <w:rPr>
          <w:highlight w:val="none"/>
        </w:rPr>
        <w:t>（1）供应商的姓名或者名称、地址、邮编、联系人及联系电话；</w:t>
      </w:r>
    </w:p>
    <w:p>
      <w:pPr>
        <w:pStyle w:val="11"/>
        <w:spacing w:line="500" w:lineRule="exact"/>
        <w:ind w:firstLine="480" w:firstLineChars="200"/>
        <w:rPr>
          <w:highlight w:val="none"/>
          <w:lang w:eastAsia="zh-CN"/>
        </w:rPr>
      </w:pPr>
      <w:r>
        <w:rPr>
          <w:highlight w:val="none"/>
        </w:rPr>
        <w:t>（2）质疑项目的名称、编号；</w:t>
      </w:r>
    </w:p>
    <w:p>
      <w:pPr>
        <w:pStyle w:val="11"/>
        <w:spacing w:line="500" w:lineRule="exact"/>
        <w:ind w:firstLine="480" w:firstLineChars="200"/>
        <w:rPr>
          <w:highlight w:val="none"/>
          <w:lang w:eastAsia="zh-CN"/>
        </w:rPr>
      </w:pPr>
      <w:r>
        <w:rPr>
          <w:highlight w:val="none"/>
        </w:rPr>
        <w:t>（3）具体、明确的质疑事项和与质疑事项相关的请求；</w:t>
      </w:r>
    </w:p>
    <w:p>
      <w:pPr>
        <w:pStyle w:val="11"/>
        <w:spacing w:line="500" w:lineRule="exact"/>
        <w:ind w:firstLine="480" w:firstLineChars="200"/>
        <w:rPr>
          <w:highlight w:val="none"/>
          <w:lang w:eastAsia="zh-CN"/>
        </w:rPr>
      </w:pPr>
      <w:r>
        <w:rPr>
          <w:highlight w:val="none"/>
        </w:rPr>
        <w:t>（4）事实依据；</w:t>
      </w:r>
    </w:p>
    <w:p>
      <w:pPr>
        <w:pStyle w:val="11"/>
        <w:spacing w:line="500" w:lineRule="exact"/>
        <w:ind w:firstLine="480" w:firstLineChars="200"/>
        <w:rPr>
          <w:highlight w:val="none"/>
          <w:lang w:eastAsia="zh-CN"/>
        </w:rPr>
      </w:pPr>
      <w:r>
        <w:rPr>
          <w:highlight w:val="none"/>
        </w:rPr>
        <w:t>（5）必要的法律依据；</w:t>
      </w:r>
    </w:p>
    <w:p>
      <w:pPr>
        <w:pStyle w:val="34"/>
        <w:numPr>
          <w:ilvl w:val="0"/>
          <w:numId w:val="12"/>
        </w:numPr>
        <w:spacing w:line="500" w:lineRule="exact"/>
        <w:ind w:left="0" w:firstLine="480" w:firstLineChars="200"/>
        <w:rPr>
          <w:sz w:val="24"/>
          <w:highlight w:val="none"/>
        </w:rPr>
      </w:pPr>
      <w:r>
        <w:rPr>
          <w:sz w:val="24"/>
          <w:highlight w:val="none"/>
        </w:rPr>
        <w:t>提出质疑的日期。</w:t>
      </w:r>
    </w:p>
    <w:p>
      <w:pPr>
        <w:pStyle w:val="11"/>
        <w:spacing w:line="500" w:lineRule="exact"/>
        <w:ind w:firstLine="420" w:firstLineChars="200"/>
        <w:rPr>
          <w:highlight w:val="none"/>
          <w:lang w:eastAsia="zh-CN"/>
        </w:rPr>
      </w:pPr>
      <w:r>
        <w:rPr>
          <w:spacing w:val="-15"/>
          <w:highlight w:val="none"/>
        </w:rPr>
        <w:t>供应商为自然人的，应当由本人签字；供应商为法人或者其他组织的，应当由法定代表人、</w:t>
      </w:r>
      <w:r>
        <w:rPr>
          <w:highlight w:val="none"/>
        </w:rPr>
        <w:t>主要负责人，或者其授权代表签字或者盖章，并加盖公章。</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按照“谁质疑、谁举证”的原则，质疑供应商的质疑事项应有必要的法律依据，应提供充分的能证明质疑事项成立的书面材料。质疑证明材料中有外文资料的，需提交加盖翻译单位印章或翻译人签字的相应中文译本。</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质疑文件以及证明材料一式三份。</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供应商在法定质疑期内针对同一采购程序环节的质疑只能一次性提出。</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不在法定质疑期内提出的质疑函拒收。</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不符合要求的质疑函在法定质疑期内及时补充完整，否则作质疑不成立处理。</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本中心处理质疑不向质疑供应商和其他相关单位、人员收取任何费用。</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采购代理机构在收到质疑供应商的书面质疑后，七个工作日内以书面形式答复质疑供应商和其他有关供应商，并抄送政府采购监督管理部门。</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质疑供应商对采购代理机构的质疑答复不满意，或者采购代理机构未在规定期限内作出答复的，可以在答复期满后十五个工作日内向同级政府采购监督管理部门提起投诉。投诉事项应当是经过质疑的事项。</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质疑供应商须对质疑内容的真实性承担法律责任。</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联系部门、联系电话和通讯地址：</w:t>
      </w:r>
    </w:p>
    <w:p>
      <w:pPr>
        <w:pStyle w:val="34"/>
        <w:spacing w:line="500" w:lineRule="exact"/>
        <w:ind w:left="0" w:firstLine="480" w:firstLineChars="200"/>
        <w:rPr>
          <w:sz w:val="24"/>
          <w:highlight w:val="none"/>
          <w:lang w:eastAsia="zh-CN"/>
        </w:rPr>
      </w:pPr>
      <w:r>
        <w:rPr>
          <w:rFonts w:hint="eastAsia"/>
          <w:sz w:val="24"/>
          <w:highlight w:val="none"/>
        </w:rPr>
        <w:t>接收质疑函单位名称</w:t>
      </w:r>
      <w:r>
        <w:rPr>
          <w:rFonts w:hint="eastAsia"/>
          <w:sz w:val="24"/>
          <w:highlight w:val="none"/>
          <w:lang w:eastAsia="zh-CN"/>
        </w:rPr>
        <w:t>：广东正源泰工程咨询有限公司</w:t>
      </w:r>
    </w:p>
    <w:p>
      <w:pPr>
        <w:pStyle w:val="34"/>
        <w:spacing w:line="500" w:lineRule="exact"/>
        <w:ind w:left="0" w:firstLine="480" w:firstLineChars="200"/>
        <w:rPr>
          <w:rFonts w:hint="default"/>
          <w:sz w:val="24"/>
          <w:highlight w:val="none"/>
          <w:lang w:val="en-US"/>
        </w:rPr>
      </w:pPr>
      <w:r>
        <w:rPr>
          <w:rFonts w:hint="eastAsia"/>
          <w:sz w:val="24"/>
          <w:highlight w:val="none"/>
        </w:rPr>
        <w:t>联系人：</w:t>
      </w:r>
      <w:r>
        <w:rPr>
          <w:rFonts w:hint="eastAsia"/>
          <w:sz w:val="24"/>
          <w:highlight w:val="none"/>
          <w:lang w:val="en-US" w:eastAsia="zh-CN"/>
        </w:rPr>
        <w:t>张工</w:t>
      </w:r>
    </w:p>
    <w:p>
      <w:pPr>
        <w:pStyle w:val="34"/>
        <w:spacing w:line="500" w:lineRule="exact"/>
        <w:ind w:left="0" w:firstLine="480" w:firstLineChars="200"/>
        <w:rPr>
          <w:sz w:val="24"/>
          <w:highlight w:val="none"/>
          <w:lang w:val="en-US" w:eastAsia="zh-CN"/>
        </w:rPr>
      </w:pPr>
      <w:r>
        <w:rPr>
          <w:rFonts w:hint="eastAsia"/>
          <w:sz w:val="24"/>
          <w:highlight w:val="none"/>
        </w:rPr>
        <w:t>联系电话：</w:t>
      </w:r>
      <w:r>
        <w:rPr>
          <w:rFonts w:hint="eastAsia"/>
          <w:sz w:val="24"/>
          <w:szCs w:val="24"/>
          <w:highlight w:val="none"/>
        </w:rPr>
        <w:t>0750-3221787</w:t>
      </w:r>
    </w:p>
    <w:p>
      <w:pPr>
        <w:pStyle w:val="34"/>
        <w:spacing w:line="500" w:lineRule="exact"/>
        <w:ind w:left="0" w:firstLine="480" w:firstLineChars="200"/>
        <w:rPr>
          <w:highlight w:val="none"/>
          <w:lang w:eastAsia="zh-CN"/>
        </w:rPr>
      </w:pPr>
      <w:r>
        <w:rPr>
          <w:rFonts w:hint="eastAsia"/>
          <w:sz w:val="24"/>
          <w:highlight w:val="none"/>
        </w:rPr>
        <w:t>通讯地址：</w:t>
      </w:r>
      <w:r>
        <w:rPr>
          <w:rFonts w:hint="eastAsia"/>
          <w:sz w:val="24"/>
          <w:highlight w:val="none"/>
          <w:lang w:eastAsia="zh-CN"/>
        </w:rPr>
        <w:t>江门市群华路15号4幢3A之二</w:t>
      </w:r>
    </w:p>
    <w:p>
      <w:pPr>
        <w:pStyle w:val="8"/>
        <w:spacing w:line="500" w:lineRule="exact"/>
        <w:ind w:left="0"/>
        <w:rPr>
          <w:highlight w:val="none"/>
          <w:lang w:eastAsia="zh-CN"/>
        </w:rPr>
      </w:pPr>
      <w:r>
        <w:rPr>
          <w:highlight w:val="none"/>
        </w:rPr>
        <w:t>七、合同的订立和履行</w:t>
      </w:r>
    </w:p>
    <w:p>
      <w:pPr>
        <w:pStyle w:val="34"/>
        <w:numPr>
          <w:ilvl w:val="0"/>
          <w:numId w:val="2"/>
        </w:numPr>
        <w:tabs>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合同的订立</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采购人与成交供应商自成交通知书发出之日起三十日内，按</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文件要求和成交供应商响应文件承诺签订政府采购合同，但不得超出</w:t>
      </w:r>
      <w:r>
        <w:rPr>
          <w:rFonts w:hint="eastAsia" w:ascii="Times New Roman" w:hAnsi="Times New Roman"/>
          <w:snapToGrid w:val="0"/>
          <w:sz w:val="24"/>
          <w:szCs w:val="24"/>
          <w:highlight w:val="none"/>
          <w:lang w:val="en-US" w:eastAsia="zh-CN"/>
        </w:rPr>
        <w:t>采购</w:t>
      </w:r>
      <w:r>
        <w:rPr>
          <w:rFonts w:hint="eastAsia" w:ascii="Times New Roman" w:hAnsi="Times New Roman"/>
          <w:snapToGrid w:val="0"/>
          <w:sz w:val="24"/>
          <w:szCs w:val="24"/>
          <w:highlight w:val="none"/>
        </w:rPr>
        <w:t>文件和成交供应商响应文件的范围、也不得再行订立背离合同实质性内容的其他协议。</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签订政府采购合同后7个工作日内，采购人应将政府采购合同副本报同级政府采购监督管理部门备案。</w:t>
      </w:r>
    </w:p>
    <w:p>
      <w:pPr>
        <w:pStyle w:val="34"/>
        <w:numPr>
          <w:ilvl w:val="1"/>
          <w:numId w:val="2"/>
        </w:numPr>
        <w:tabs>
          <w:tab w:val="clear" w:pos="210"/>
        </w:tabs>
        <w:spacing w:line="500" w:lineRule="exact"/>
        <w:ind w:left="0" w:firstLine="481" w:firstLineChars="200"/>
        <w:rPr>
          <w:rFonts w:ascii="Times New Roman" w:hAnsi="Times New Roman"/>
          <w:b/>
          <w:bCs/>
          <w:snapToGrid w:val="0"/>
          <w:sz w:val="24"/>
          <w:szCs w:val="24"/>
          <w:highlight w:val="none"/>
        </w:rPr>
      </w:pPr>
      <w:r>
        <w:rPr>
          <w:rFonts w:hint="eastAsia" w:ascii="Times New Roman" w:hAnsi="Times New Roman"/>
          <w:b/>
          <w:bCs/>
          <w:snapToGrid w:val="0"/>
          <w:sz w:val="24"/>
          <w:szCs w:val="24"/>
          <w:highlight w:val="none"/>
        </w:rPr>
        <w:t>合同签订：采购合同由供应商与采购人签订。在合同签订前，供应商须提供营业执照、税务登记证和在响应文件中提供的资质证明文件、业绩合同等主要证明文件原件给采购人进行核对。如响应文件中复印件与原件不符，采购人有权向采购监督部门提出取消其成交资格。</w:t>
      </w:r>
    </w:p>
    <w:p>
      <w:pPr>
        <w:pStyle w:val="34"/>
        <w:numPr>
          <w:ilvl w:val="0"/>
          <w:numId w:val="2"/>
        </w:numPr>
        <w:tabs>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合同的履行</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34"/>
        <w:numPr>
          <w:ilvl w:val="1"/>
          <w:numId w:val="2"/>
        </w:numPr>
        <w:tabs>
          <w:tab w:val="clear" w:pos="210"/>
        </w:tabs>
        <w:spacing w:line="500" w:lineRule="exact"/>
        <w:ind w:left="0"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政府采购合同履行中，采购人需追加与合同标的相同的货物、工程或者服务的，在不改变合同其他条款的前提下，可以与供应商签订补充合同，但所补充合同的采购金额不得超过原采购金额的百分之十。签订补充合同的必须按照25.2条的规定备案</w:t>
      </w:r>
      <w:r>
        <w:rPr>
          <w:rFonts w:hint="eastAsia" w:ascii="Times New Roman" w:hAnsi="Times New Roman"/>
          <w:snapToGrid w:val="0"/>
          <w:sz w:val="24"/>
          <w:szCs w:val="24"/>
          <w:highlight w:val="none"/>
          <w:lang w:eastAsia="zh-CN"/>
        </w:rPr>
        <w:t>。</w:t>
      </w:r>
    </w:p>
    <w:p>
      <w:pPr>
        <w:pStyle w:val="8"/>
        <w:spacing w:line="500" w:lineRule="exact"/>
        <w:ind w:left="0"/>
        <w:rPr>
          <w:highlight w:val="none"/>
        </w:rPr>
      </w:pPr>
      <w:r>
        <w:rPr>
          <w:highlight w:val="none"/>
        </w:rPr>
        <w:t>八、适用法律</w:t>
      </w:r>
    </w:p>
    <w:p>
      <w:pPr>
        <w:pStyle w:val="34"/>
        <w:numPr>
          <w:ilvl w:val="0"/>
          <w:numId w:val="2"/>
        </w:numPr>
        <w:tabs>
          <w:tab w:val="clear" w:pos="567"/>
        </w:tabs>
        <w:spacing w:line="500" w:lineRule="exact"/>
        <w:ind w:firstLine="480" w:firstLineChars="200"/>
        <w:rPr>
          <w:rFonts w:ascii="Times New Roman" w:hAnsi="Times New Roman"/>
          <w:snapToGrid w:val="0"/>
          <w:sz w:val="24"/>
          <w:szCs w:val="24"/>
          <w:highlight w:val="none"/>
        </w:rPr>
      </w:pPr>
      <w:r>
        <w:rPr>
          <w:rFonts w:hint="eastAsia" w:ascii="Times New Roman" w:hAnsi="Times New Roman"/>
          <w:snapToGrid w:val="0"/>
          <w:sz w:val="24"/>
          <w:szCs w:val="24"/>
          <w:highlight w:val="none"/>
        </w:rPr>
        <w:t>采购人、采购代理机构及供应商的一切招标投标活动均适用《</w:t>
      </w:r>
      <w:r>
        <w:rPr>
          <w:rFonts w:hint="eastAsia" w:ascii="宋体" w:hAnsi="宋体" w:eastAsia="宋体" w:cs="宋体"/>
          <w:sz w:val="24"/>
          <w:szCs w:val="24"/>
          <w:highlight w:val="none"/>
          <w:lang w:val="en-US" w:eastAsia="zh-CN" w:bidi="ja-JP"/>
        </w:rPr>
        <w:t>中华人民共和国政府采购法</w:t>
      </w:r>
      <w:r>
        <w:rPr>
          <w:rFonts w:hint="eastAsia" w:ascii="Times New Roman" w:hAnsi="Times New Roman"/>
          <w:snapToGrid w:val="0"/>
          <w:sz w:val="24"/>
          <w:szCs w:val="24"/>
          <w:highlight w:val="none"/>
        </w:rPr>
        <w:t xml:space="preserve">》及其配套的法规、规章、政策。工程类项目适用《中华人民共和国招标投标法》及其配套的法规、规章、政策。 </w:t>
      </w:r>
    </w:p>
    <w:p>
      <w:pPr>
        <w:ind w:left="0"/>
        <w:rPr>
          <w:spacing w:val="-1"/>
          <w:sz w:val="24"/>
          <w:highlight w:val="none"/>
        </w:rPr>
        <w:sectPr>
          <w:pgSz w:w="11910" w:h="16840"/>
          <w:pgMar w:top="1440" w:right="1080" w:bottom="1440" w:left="1080" w:header="0" w:footer="995" w:gutter="0"/>
          <w:cols w:space="720" w:num="1"/>
        </w:sectPr>
      </w:pPr>
      <w:bookmarkStart w:id="42" w:name="_Toc13104_WPSOffice_Level1"/>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pStyle w:val="24"/>
        <w:ind w:firstLine="504"/>
        <w:rPr>
          <w:highlight w:val="none"/>
        </w:rPr>
      </w:pPr>
    </w:p>
    <w:p>
      <w:pPr>
        <w:ind w:left="2887"/>
        <w:rPr>
          <w:b/>
          <w:sz w:val="44"/>
          <w:highlight w:val="none"/>
        </w:rPr>
      </w:pPr>
    </w:p>
    <w:p>
      <w:pPr>
        <w:ind w:left="2887"/>
        <w:outlineLvl w:val="0"/>
        <w:rPr>
          <w:rFonts w:hint="eastAsia"/>
          <w:b/>
          <w:sz w:val="44"/>
          <w:highlight w:val="none"/>
        </w:rPr>
      </w:pPr>
      <w:bookmarkStart w:id="43" w:name="_Toc4713"/>
      <w:bookmarkStart w:id="44" w:name="_Toc19012"/>
      <w:r>
        <w:rPr>
          <w:rFonts w:hint="eastAsia"/>
          <w:b/>
          <w:sz w:val="44"/>
          <w:highlight w:val="none"/>
        </w:rPr>
        <w:t>第四部分 合同书格式</w:t>
      </w:r>
      <w:bookmarkEnd w:id="42"/>
      <w:bookmarkEnd w:id="43"/>
      <w:bookmarkEnd w:id="44"/>
    </w:p>
    <w:p>
      <w:pPr>
        <w:pStyle w:val="24"/>
        <w:rPr>
          <w:rFonts w:hint="eastAsia"/>
        </w:rPr>
      </w:pPr>
    </w:p>
    <w:p>
      <w:pPr>
        <w:ind w:left="7" w:leftChars="0" w:hanging="7" w:firstLineChars="0"/>
        <w:jc w:val="center"/>
        <w:outlineLvl w:val="0"/>
        <w:rPr>
          <w:rFonts w:hint="eastAsia" w:eastAsia="宋体"/>
          <w:b/>
          <w:sz w:val="32"/>
          <w:szCs w:val="18"/>
          <w:highlight w:val="none"/>
          <w:lang w:eastAsia="zh-CN"/>
        </w:rPr>
      </w:pPr>
    </w:p>
    <w:p>
      <w:pPr>
        <w:spacing w:before="14"/>
        <w:ind w:left="359"/>
        <w:jc w:val="center"/>
        <w:rPr>
          <w:b/>
          <w:sz w:val="72"/>
          <w:highlight w:val="none"/>
        </w:rPr>
      </w:pPr>
    </w:p>
    <w:p>
      <w:pPr>
        <w:spacing w:before="13"/>
        <w:ind w:left="359"/>
        <w:jc w:val="center"/>
        <w:rPr>
          <w:b/>
          <w:sz w:val="72"/>
          <w:highlight w:val="none"/>
        </w:rPr>
      </w:pPr>
    </w:p>
    <w:p>
      <w:pPr>
        <w:spacing w:before="14"/>
        <w:ind w:left="359"/>
        <w:jc w:val="center"/>
        <w:rPr>
          <w:b/>
          <w:sz w:val="72"/>
          <w:highlight w:val="none"/>
        </w:rPr>
      </w:pPr>
    </w:p>
    <w:p>
      <w:pPr>
        <w:spacing w:before="13"/>
        <w:ind w:left="359"/>
        <w:jc w:val="center"/>
        <w:rPr>
          <w:sz w:val="72"/>
          <w:highlight w:val="none"/>
        </w:rPr>
        <w:sectPr>
          <w:pgSz w:w="11910" w:h="16840"/>
          <w:pgMar w:top="1440" w:right="1080" w:bottom="1440" w:left="1080" w:header="0" w:footer="995" w:gutter="0"/>
          <w:cols w:space="720" w:num="1"/>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72"/>
          <w:szCs w:val="72"/>
          <w:lang w:eastAsia="zh-CN"/>
        </w:rPr>
      </w:pPr>
      <w:bookmarkStart w:id="45" w:name="_Toc18891_WPSOffice_Level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72"/>
          <w:szCs w:val="72"/>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72"/>
          <w:szCs w:val="72"/>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72"/>
          <w:szCs w:val="72"/>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72"/>
          <w:szCs w:val="72"/>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52"/>
          <w:szCs w:val="52"/>
          <w:highlight w:val="none"/>
        </w:rPr>
      </w:pPr>
      <w:r>
        <w:rPr>
          <w:rFonts w:hint="eastAsia" w:ascii="仿宋_GB2312" w:hAnsi="仿宋_GB2312" w:eastAsia="仿宋_GB2312" w:cs="仿宋_GB2312"/>
          <w:color w:val="000000"/>
          <w:sz w:val="52"/>
          <w:szCs w:val="52"/>
          <w:highlight w:val="none"/>
          <w:lang w:eastAsia="zh-CN"/>
        </w:rPr>
        <w:t>江</w:t>
      </w:r>
      <w:r>
        <w:rPr>
          <w:rFonts w:hint="eastAsia" w:ascii="仿宋_GB2312" w:hAnsi="仿宋_GB2312" w:eastAsia="仿宋_GB2312" w:cs="仿宋_GB2312"/>
          <w:color w:val="000000"/>
          <w:sz w:val="52"/>
          <w:szCs w:val="52"/>
          <w:highlight w:val="none"/>
        </w:rPr>
        <w:t>门市园林绿化工程施工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color w:val="000000"/>
          <w:sz w:val="52"/>
          <w:szCs w:val="52"/>
          <w:highlight w:val="none"/>
        </w:rPr>
      </w:pPr>
      <w:r>
        <w:rPr>
          <w:rFonts w:hint="eastAsia" w:ascii="仿宋_GB2312" w:hAnsi="仿宋_GB2312" w:eastAsia="仿宋_GB2312" w:cs="仿宋_GB2312"/>
          <w:color w:val="000000"/>
          <w:sz w:val="52"/>
          <w:szCs w:val="52"/>
          <w:highlight w:val="none"/>
        </w:rPr>
        <w:t>合同</w:t>
      </w:r>
      <w:r>
        <w:rPr>
          <w:rFonts w:hint="eastAsia" w:ascii="仿宋_GB2312" w:hAnsi="仿宋_GB2312" w:eastAsia="仿宋_GB2312" w:cs="仿宋_GB2312"/>
          <w:color w:val="000000"/>
          <w:sz w:val="52"/>
          <w:szCs w:val="52"/>
          <w:highlight w:val="none"/>
          <w:lang w:eastAsia="zh-CN"/>
        </w:rPr>
        <w:t>范</w:t>
      </w:r>
      <w:r>
        <w:rPr>
          <w:rFonts w:hint="eastAsia" w:ascii="仿宋_GB2312" w:hAnsi="仿宋_GB2312" w:eastAsia="仿宋_GB2312" w:cs="仿宋_GB2312"/>
          <w:color w:val="000000"/>
          <w:sz w:val="52"/>
          <w:szCs w:val="52"/>
          <w:highlight w:val="none"/>
        </w:rPr>
        <w:t>本</w:t>
      </w:r>
    </w:p>
    <w:p>
      <w:pPr>
        <w:rPr>
          <w:rFonts w:hint="eastAsia" w:ascii="仿宋_GB2312" w:hAnsi="仿宋_GB2312" w:eastAsia="仿宋_GB2312" w:cs="仿宋_GB2312"/>
          <w:color w:val="000000"/>
          <w:sz w:val="52"/>
          <w:szCs w:val="52"/>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Style w:val="27"/>
          <w:rFonts w:hint="eastAsia" w:ascii="方正黑体_GBK" w:hAnsi="方正黑体_GBK" w:eastAsia="方正黑体_GBK" w:cs="方正黑体_GBK"/>
          <w:b w:val="0"/>
          <w:bCs w:val="0"/>
          <w:color w:val="000000"/>
          <w:kern w:val="0"/>
          <w:sz w:val="32"/>
          <w:szCs w:val="32"/>
          <w:highlight w:val="none"/>
          <w:lang w:val="en-US" w:eastAsia="zh-CN" w:bidi="ar"/>
        </w:rPr>
      </w:pPr>
      <w:r>
        <w:rPr>
          <w:rStyle w:val="27"/>
          <w:rFonts w:hint="eastAsia" w:ascii="方正黑体_GBK" w:hAnsi="方正黑体_GBK" w:eastAsia="方正黑体_GBK" w:cs="方正黑体_GBK"/>
          <w:b w:val="0"/>
          <w:bCs w:val="0"/>
          <w:color w:val="000000"/>
          <w:kern w:val="0"/>
          <w:sz w:val="32"/>
          <w:szCs w:val="32"/>
          <w:highlight w:val="none"/>
          <w:lang w:val="en-US" w:eastAsia="zh-CN" w:bidi="ar"/>
        </w:rPr>
        <w:t>说  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560" w:firstLineChars="200"/>
        <w:jc w:val="left"/>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为指导江门市政府投资项目园林绿化工程施工合同当事人的签约行为，维护合同当事人的合法权益，以住建部、市场监管总局组织编制的《园林绿化工程施工合同示范文本（试行）》（GF-2020-2605）为蓝本，按照《城市绿化条例》《广东省城市绿化条例》等相关法律法规的要求，结合江门市园林绿化工程管理实际编制了《江门市园林绿化工程施工合同范本》（以下简称《合同范本》）。</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Style w:val="27"/>
          <w:rFonts w:hint="eastAsia" w:ascii="方正黑体_GBK" w:hAnsi="方正黑体_GBK" w:eastAsia="方正黑体_GBK" w:cs="方正黑体_GBK"/>
          <w:b/>
          <w:bCs/>
          <w:color w:val="000000"/>
          <w:kern w:val="2"/>
          <w:sz w:val="28"/>
          <w:szCs w:val="28"/>
          <w:highlight w:val="none"/>
          <w:lang w:val="en-US" w:eastAsia="zh-CN" w:bidi="ar"/>
        </w:rPr>
      </w:pPr>
      <w:r>
        <w:rPr>
          <w:rFonts w:hint="eastAsia" w:ascii="方正黑体_GBK" w:hAnsi="方正黑体_GBK" w:eastAsia="方正黑体_GBK" w:cs="方正黑体_GBK"/>
          <w:color w:val="000000"/>
          <w:kern w:val="2"/>
          <w:sz w:val="28"/>
          <w:szCs w:val="28"/>
          <w:highlight w:val="none"/>
          <w:lang w:val="en-US" w:eastAsia="zh-CN" w:bidi="ar"/>
        </w:rPr>
        <w:t>一、《合同范本》的组成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《合同范本》由合同协议书、通用合同条款、专用合同条款和附件四部分组成：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（一）合同协议书：明确发包人与承包人的核心权利义务，包括工程概况、工期、质量标准、合同价款等关键内容。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（二）通用合同条款：直接采用</w:t>
      </w:r>
      <w:r>
        <w:rPr>
          <w:rFonts w:hint="eastAsia" w:ascii="仿宋_GB2312" w:hAnsi="仿宋_GB2312" w:eastAsia="仿宋_GB2312" w:cs="仿宋_GB2312"/>
          <w:color w:val="000000"/>
          <w:kern w:val="0"/>
          <w:sz w:val="28"/>
          <w:szCs w:val="28"/>
          <w:highlight w:val="none"/>
          <w:lang w:val="en-US" w:eastAsia="zh-CN" w:bidi="ar"/>
        </w:rPr>
        <w:t>《建设工程施工合同（示范文本）》（GF-2017-0201）</w:t>
      </w:r>
      <w:r>
        <w:rPr>
          <w:rFonts w:hint="eastAsia" w:ascii="仿宋_GB2312" w:hAnsi="仿宋_GB2312" w:eastAsia="仿宋_GB2312" w:cs="仿宋_GB2312"/>
          <w:color w:val="000000"/>
          <w:kern w:val="2"/>
          <w:sz w:val="28"/>
          <w:szCs w:val="28"/>
          <w:highlight w:val="none"/>
          <w:lang w:val="en-US" w:eastAsia="zh-CN" w:bidi="ar"/>
        </w:rPr>
        <w:t>的通用条款，确保合同的规范性和权威性。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（三）专用合同条款：在通用条款基础上，结合江门市园林绿化工程管理实际，进行细化、补充和修改，体现本地化要求。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（四）附件：包含承包人承揽工程项目一览表、现状树木一览表、苗木质量标准等5个附件，作为合同的重要组成部分。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ascii="方正黑体_GBK" w:hAnsi="方正黑体_GBK" w:eastAsia="方正黑体_GBK" w:cs="方正黑体_GBK"/>
          <w:b w:val="0"/>
          <w:bCs w:val="0"/>
          <w:color w:val="000000"/>
          <w:kern w:val="2"/>
          <w:sz w:val="28"/>
          <w:szCs w:val="28"/>
          <w:highlight w:val="none"/>
        </w:rPr>
      </w:pPr>
      <w:r>
        <w:rPr>
          <w:rFonts w:ascii="方正黑体_GBK" w:hAnsi="方正黑体_GBK" w:eastAsia="方正黑体_GBK" w:cs="方正黑体_GBK"/>
          <w:b w:val="0"/>
          <w:bCs w:val="0"/>
          <w:color w:val="000000"/>
          <w:kern w:val="2"/>
          <w:sz w:val="28"/>
          <w:szCs w:val="28"/>
          <w:highlight w:val="none"/>
        </w:rPr>
        <w:t>二、</w:t>
      </w:r>
      <w:r>
        <w:rPr>
          <w:rFonts w:hint="eastAsia" w:ascii="方正黑体_GBK" w:hAnsi="方正黑体_GBK" w:eastAsia="方正黑体_GBK" w:cs="方正黑体_GBK"/>
          <w:b w:val="0"/>
          <w:bCs w:val="0"/>
          <w:color w:val="000000"/>
          <w:kern w:val="2"/>
          <w:sz w:val="28"/>
          <w:szCs w:val="28"/>
          <w:highlight w:val="none"/>
          <w:lang w:val="en-US" w:eastAsia="zh-CN" w:bidi="ar"/>
        </w:rPr>
        <w:t>《合同范本》</w:t>
      </w:r>
      <w:r>
        <w:rPr>
          <w:rFonts w:ascii="方正黑体_GBK" w:hAnsi="方正黑体_GBK" w:eastAsia="方正黑体_GBK" w:cs="方正黑体_GBK"/>
          <w:b w:val="0"/>
          <w:bCs w:val="0"/>
          <w:color w:val="000000"/>
          <w:kern w:val="2"/>
          <w:sz w:val="28"/>
          <w:szCs w:val="28"/>
          <w:highlight w:val="none"/>
        </w:rPr>
        <w:t>的性质和适用范围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
        </w:rPr>
      </w:pPr>
      <w:r>
        <w:rPr>
          <w:rFonts w:hint="eastAsia" w:ascii="仿宋_GB2312" w:hAnsi="仿宋_GB2312" w:eastAsia="仿宋_GB2312" w:cs="仿宋_GB2312"/>
          <w:color w:val="000000"/>
          <w:kern w:val="2"/>
          <w:sz w:val="28"/>
          <w:szCs w:val="28"/>
          <w:highlight w:val="none"/>
          <w:lang w:val="en-US" w:eastAsia="zh-CN" w:bidi="ar"/>
        </w:rPr>
        <w:t>《合同范本》其性质为推荐性、参考性文本，旨在为江门市范围内的园林绿化工程施工合同的订立提供统一、规范的参考，供合同当事人参考使用，并非强制性法规。《合同范本》适用于江门市范围内政府投资项目的园林绿化工程施工、承包、发包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Style w:val="27"/>
          <w:rFonts w:hint="eastAsia" w:ascii="仿宋_GB2312" w:hAnsi="仿宋_GB2312" w:eastAsia="仿宋_GB2312" w:cs="仿宋_GB2312"/>
          <w:b/>
          <w:bCs/>
          <w:color w:val="000000"/>
          <w:kern w:val="0"/>
          <w:sz w:val="28"/>
          <w:szCs w:val="28"/>
          <w:highlight w:val="none"/>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目</w:t>
      </w:r>
      <w:r>
        <w:rPr>
          <w:rFonts w:hint="eastAsia" w:ascii="方正黑体_GBK" w:hAnsi="方正黑体_GBK" w:eastAsia="方正黑体_GBK" w:cs="方正黑体_GBK"/>
          <w:b w:val="0"/>
          <w:bCs w:val="0"/>
          <w:color w:val="000000"/>
          <w:sz w:val="32"/>
          <w:szCs w:val="32"/>
          <w:highlight w:val="none"/>
          <w:lang w:val="en-US" w:eastAsia="zh-CN"/>
        </w:rPr>
        <w:t xml:space="preserve">  </w:t>
      </w:r>
      <w:r>
        <w:rPr>
          <w:rFonts w:hint="eastAsia" w:ascii="方正黑体_GBK" w:hAnsi="方正黑体_GBK" w:eastAsia="方正黑体_GBK" w:cs="方正黑体_GBK"/>
          <w:b w:val="0"/>
          <w:bCs w:val="0"/>
          <w:color w:val="000000"/>
          <w:sz w:val="32"/>
          <w:szCs w:val="32"/>
          <w:highlight w:val="none"/>
        </w:rPr>
        <w:t>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合同协议书..............................</w:t>
      </w:r>
      <w:r>
        <w:rPr>
          <w:rFonts w:hint="default" w:ascii="仿宋_GB2312" w:hAnsi="仿宋_GB2312" w:eastAsia="仿宋_GB2312" w:cs="仿宋_GB2312"/>
          <w:color w:val="000000"/>
          <w:kern w:val="0"/>
          <w:sz w:val="28"/>
          <w:szCs w:val="28"/>
          <w:highlight w:val="none"/>
          <w:lang w:val="en-US" w:eastAsia="zh-CN" w:bidi="ar"/>
        </w:rPr>
        <w:t>1</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工程概况 ....................................</w:t>
      </w:r>
      <w:r>
        <w:rPr>
          <w:rFonts w:hint="default" w:ascii="仿宋_GB2312" w:hAnsi="仿宋_GB2312" w:eastAsia="仿宋_GB2312" w:cs="仿宋_GB2312"/>
          <w:color w:val="000000"/>
          <w:kern w:val="0"/>
          <w:sz w:val="28"/>
          <w:szCs w:val="28"/>
          <w:highlight w:val="none"/>
          <w:lang w:val="en-US" w:eastAsia="zh-CN" w:bidi="ar"/>
        </w:rPr>
        <w:t>1</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合同工期 ....................................</w:t>
      </w:r>
      <w:r>
        <w:rPr>
          <w:rFonts w:hint="default" w:ascii="仿宋_GB2312" w:hAnsi="仿宋_GB2312" w:eastAsia="仿宋_GB2312" w:cs="仿宋_GB2312"/>
          <w:color w:val="000000"/>
          <w:kern w:val="0"/>
          <w:sz w:val="28"/>
          <w:szCs w:val="28"/>
          <w:highlight w:val="none"/>
          <w:lang w:val="en-US" w:eastAsia="zh-CN" w:bidi="ar"/>
        </w:rPr>
        <w:t>1</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质量标准 ....................................</w:t>
      </w:r>
      <w:r>
        <w:rPr>
          <w:rFonts w:hint="default" w:ascii="仿宋_GB2312" w:hAnsi="仿宋_GB2312" w:eastAsia="仿宋_GB2312" w:cs="仿宋_GB2312"/>
          <w:color w:val="000000"/>
          <w:kern w:val="0"/>
          <w:sz w:val="28"/>
          <w:szCs w:val="28"/>
          <w:highlight w:val="none"/>
          <w:lang w:val="en-US" w:eastAsia="zh-CN" w:bidi="ar"/>
        </w:rPr>
        <w:t>2</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签约合同价与合同价格形式.....................</w:t>
      </w:r>
      <w:r>
        <w:rPr>
          <w:rFonts w:hint="default" w:ascii="仿宋_GB2312" w:hAnsi="仿宋_GB2312" w:eastAsia="仿宋_GB2312" w:cs="仿宋_GB2312"/>
          <w:color w:val="000000"/>
          <w:kern w:val="0"/>
          <w:sz w:val="28"/>
          <w:szCs w:val="28"/>
          <w:highlight w:val="none"/>
          <w:lang w:val="en-US" w:eastAsia="zh-CN" w:bidi="ar"/>
        </w:rPr>
        <w:t>2</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承包人项目负责人.............................</w:t>
      </w:r>
      <w:r>
        <w:rPr>
          <w:rFonts w:hint="default" w:ascii="仿宋_GB2312" w:hAnsi="仿宋_GB2312" w:eastAsia="仿宋_GB2312" w:cs="仿宋_GB2312"/>
          <w:color w:val="000000"/>
          <w:kern w:val="0"/>
          <w:sz w:val="28"/>
          <w:szCs w:val="28"/>
          <w:highlight w:val="none"/>
          <w:lang w:val="en-US" w:eastAsia="zh-CN" w:bidi="ar"/>
        </w:rPr>
        <w:t>2</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预付款.......................................3</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合同文件构成.................................3</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承诺.........................................3</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词语含义.....................................4</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签订时间.....................................4</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签订地点...................................4</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补充协议...................................4</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合同生效...................................4</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lang w:val="en-US"/>
        </w:rPr>
      </w:pPr>
      <w:r>
        <w:rPr>
          <w:rFonts w:hint="eastAsia" w:ascii="仿宋_GB2312" w:hAnsi="仿宋_GB2312" w:eastAsia="仿宋_GB2312" w:cs="仿宋_GB2312"/>
          <w:color w:val="000000"/>
          <w:kern w:val="0"/>
          <w:sz w:val="28"/>
          <w:szCs w:val="28"/>
          <w:highlight w:val="none"/>
          <w:lang w:val="en-US" w:eastAsia="zh-CN" w:bidi="ar"/>
        </w:rPr>
        <w:t>十四、合同份数...................................4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第二部分 通用合同条款 ...........................6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（全量采用住建部GF-2017-0201范本通用合同条款20条，无修改）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lang w:val="en-US"/>
        </w:rPr>
      </w:pPr>
      <w:r>
        <w:rPr>
          <w:rFonts w:hint="eastAsia" w:ascii="仿宋_GB2312" w:hAnsi="仿宋_GB2312" w:eastAsia="仿宋_GB2312" w:cs="仿宋_GB2312"/>
          <w:color w:val="000000"/>
          <w:kern w:val="0"/>
          <w:sz w:val="28"/>
          <w:szCs w:val="28"/>
          <w:highlight w:val="none"/>
          <w:lang w:val="en-US" w:eastAsia="zh-CN" w:bidi="ar"/>
        </w:rPr>
        <w:t>第三部分 专用合同条款 .........................100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 一般约定....................................100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2. 发包人......................................101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sectPr>
          <w:footerReference r:id="rId7" w:type="default"/>
          <w:pgSz w:w="11620" w:h="16240"/>
          <w:pgMar w:top="1440" w:right="1800" w:bottom="1440" w:left="1800" w:header="0" w:footer="901" w:gutter="0"/>
          <w:pgNumType w:fmt="decimal" w:start="1"/>
          <w:cols w:space="720" w:num="1"/>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3. 承包人.......................................</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4. 监理人.......................................</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5. 工程质量.....................................</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6. 安全文明施工与环境保护.......................</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7. 工期和进度...................................</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8. 材料与设备...................................</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9. 试验与检验...................................</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10. 变更........................................</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11. 价格调整....................................</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12. 合同价格、计量与支付........................</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09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13. 验收........................................</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14. 竣工结算资料................................</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15. 缺陷责任期与保修............................</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16. 违约........................................</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17. 不可抗力....................................</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18. 保险........................................</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19. 索赔........................................</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lang w:val="en-US"/>
        </w:rPr>
      </w:pPr>
      <w:r>
        <w:rPr>
          <w:rFonts w:hint="eastAsia" w:ascii="仿宋_GB2312" w:hAnsi="仿宋_GB2312" w:eastAsia="仿宋_GB2312" w:cs="仿宋_GB2312"/>
          <w:color w:val="000000"/>
          <w:kern w:val="0"/>
          <w:sz w:val="28"/>
          <w:szCs w:val="28"/>
          <w:highlight w:val="none"/>
          <w:lang w:val="en-US" w:eastAsia="zh-CN" w:bidi="ar"/>
        </w:rPr>
        <w:t>20. 争议解决....................................</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四、附件........................................</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16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附件 1 承包人承揽工程项目一览表 ................1</w:t>
      </w:r>
      <w:r>
        <w:rPr>
          <w:rFonts w:hint="default" w:ascii="仿宋_GB2312" w:hAnsi="仿宋_GB2312" w:eastAsia="仿宋_GB2312" w:cs="仿宋_GB2312"/>
          <w:color w:val="000000"/>
          <w:kern w:val="0"/>
          <w:sz w:val="28"/>
          <w:szCs w:val="28"/>
          <w:highlight w:val="none"/>
          <w:lang w:val="en-US" w:eastAsia="zh-CN" w:bidi="ar"/>
        </w:rPr>
        <w:t>1</w:t>
      </w:r>
      <w:r>
        <w:rPr>
          <w:rFonts w:hint="eastAsia" w:ascii="仿宋_GB2312" w:hAnsi="仿宋_GB2312" w:eastAsia="仿宋_GB2312" w:cs="仿宋_GB2312"/>
          <w:color w:val="000000"/>
          <w:kern w:val="0"/>
          <w:sz w:val="28"/>
          <w:szCs w:val="28"/>
          <w:highlight w:val="none"/>
          <w:lang w:val="en-US" w:eastAsia="zh-CN" w:bidi="ar"/>
        </w:rPr>
        <w:t>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附件 2 现状树木一览表 ..........................117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附件 3 绿化养护责任书 ..........................118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附件 4 苗木质量标准.............................120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附件 5 工程质量保修书 ..........................124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_GB2312" w:hAnsi="仿宋_GB2312" w:eastAsia="仿宋_GB2312" w:cs="仿宋_GB2312"/>
          <w:b/>
          <w:bCs/>
          <w:color w:val="000000"/>
          <w:sz w:val="32"/>
          <w:szCs w:val="32"/>
          <w:highlight w:val="none"/>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color w:val="000000"/>
          <w:sz w:val="32"/>
          <w:szCs w:val="32"/>
          <w:highlight w:val="none"/>
        </w:rPr>
        <w:sectPr>
          <w:footerReference r:id="rId8" w:type="default"/>
          <w:pgSz w:w="11620" w:h="16240"/>
          <w:pgMar w:top="1440" w:right="1800" w:bottom="1440" w:left="1800" w:header="0" w:footer="901" w:gutter="0"/>
          <w:pgNumType w:fmt="decimal"/>
          <w:cols w:space="720" w:num="1"/>
        </w:sect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第一部分 合同协议书</w:t>
      </w:r>
    </w:p>
    <w:p>
      <w:pPr>
        <w:keepNext w:val="0"/>
        <w:keepLines w:val="0"/>
        <w:pageBreakBefore w:val="0"/>
        <w:widowControl w:val="0"/>
        <w:kinsoku/>
        <w:wordWrap/>
        <w:overflowPunct/>
        <w:topLinePunct w:val="0"/>
        <w:autoSpaceDE/>
        <w:autoSpaceDN/>
        <w:bidi w:val="0"/>
        <w:adjustRightInd/>
        <w:snapToGrid/>
        <w:spacing w:line="556" w:lineRule="exact"/>
        <w:jc w:val="left"/>
        <w:textAlignment w:val="auto"/>
        <w:rPr>
          <w:rFonts w:hint="eastAsia"/>
          <w:highlight w:val="no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default" w:ascii="仿宋_GB2312" w:hAnsi="仿宋_GB2312" w:eastAsia="仿宋_GB2312" w:cs="仿宋_GB2312"/>
          <w:color w:val="000000"/>
          <w:kern w:val="0"/>
          <w:sz w:val="28"/>
          <w:szCs w:val="28"/>
          <w:highlight w:val="none"/>
          <w:u w:val="single"/>
          <w:lang w:val="en-US" w:eastAsia="zh-CN" w:bidi="ar"/>
        </w:rPr>
      </w:pPr>
      <w:r>
        <w:rPr>
          <w:rFonts w:hint="eastAsia" w:ascii="仿宋_GB2312" w:hAnsi="仿宋_GB2312" w:eastAsia="仿宋_GB2312" w:cs="仿宋_GB2312"/>
          <w:color w:val="000000"/>
          <w:kern w:val="0"/>
          <w:sz w:val="28"/>
          <w:szCs w:val="28"/>
          <w:highlight w:val="none"/>
          <w:lang w:val="en-US" w:eastAsia="zh-CN" w:bidi="ar"/>
        </w:rPr>
        <w:t>发包人（全称）：</w:t>
      </w:r>
      <w:r>
        <w:rPr>
          <w:rFonts w:hint="eastAsia" w:ascii="仿宋_GB2312" w:hAnsi="仿宋_GB2312" w:eastAsia="仿宋_GB2312" w:cs="仿宋_GB2312"/>
          <w:color w:val="000000"/>
          <w:kern w:val="0"/>
          <w:sz w:val="28"/>
          <w:szCs w:val="28"/>
          <w:highlight w:val="none"/>
          <w:u w:val="single"/>
          <w:lang w:val="en-US" w:eastAsia="zh-CN" w:bidi="ar"/>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承包人（全称）：</w:t>
      </w:r>
      <w:r>
        <w:rPr>
          <w:rFonts w:hint="eastAsia" w:ascii="仿宋_GB2312" w:hAnsi="仿宋_GB2312" w:eastAsia="仿宋_GB2312" w:cs="仿宋_GB2312"/>
          <w:color w:val="000000"/>
          <w:kern w:val="0"/>
          <w:sz w:val="28"/>
          <w:szCs w:val="28"/>
          <w:highlight w:val="none"/>
          <w:u w:val="single"/>
          <w:lang w:val="en-US" w:eastAsia="zh-CN" w:bidi="ar"/>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lang w:val="en-US" w:eastAsia="zh-CN"/>
        </w:rPr>
        <w:t>根据《中华人民共和国民法典》《中华人民共和国建筑法》及相关法律、法规，遵循平等、自愿、公平和诚信原则，合同双方</w:t>
      </w:r>
      <w:r>
        <w:rPr>
          <w:rFonts w:hint="eastAsia" w:ascii="仿宋_GB2312" w:hAnsi="仿宋_GB2312" w:eastAsia="仿宋_GB2312" w:cs="仿宋_GB2312"/>
          <w:color w:val="000000"/>
          <w:sz w:val="28"/>
          <w:szCs w:val="28"/>
          <w:highlight w:val="none"/>
          <w:u w:val="none"/>
          <w:lang w:val="en-US" w:eastAsia="zh-CN"/>
        </w:rPr>
        <w:t>就</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工程施工有关事项达成一致，共同达成如下协议：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一、工程概况</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工程名称：</w:t>
      </w:r>
      <w:r>
        <w:rPr>
          <w:rFonts w:hint="eastAsia" w:ascii="仿宋_GB2312" w:hAnsi="仿宋_GB2312" w:eastAsia="仿宋_GB2312" w:cs="仿宋_GB2312"/>
          <w:color w:val="000000"/>
          <w:kern w:val="0"/>
          <w:sz w:val="28"/>
          <w:szCs w:val="28"/>
          <w:highlight w:val="none"/>
          <w:u w:val="single"/>
          <w:lang w:val="en-US" w:eastAsia="zh-CN" w:bidi="ar"/>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工程地点：</w:t>
      </w:r>
      <w:r>
        <w:rPr>
          <w:rFonts w:hint="eastAsia" w:ascii="仿宋_GB2312" w:hAnsi="仿宋_GB2312" w:eastAsia="仿宋_GB2312" w:cs="仿宋_GB2312"/>
          <w:color w:val="000000"/>
          <w:kern w:val="0"/>
          <w:sz w:val="28"/>
          <w:szCs w:val="28"/>
          <w:highlight w:val="none"/>
          <w:u w:val="single"/>
          <w:lang w:val="en-US" w:eastAsia="zh-CN" w:bidi="ar"/>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工程立项批准文号：</w:t>
      </w:r>
      <w:r>
        <w:rPr>
          <w:rFonts w:hint="eastAsia" w:ascii="仿宋_GB2312" w:hAnsi="仿宋_GB2312" w:eastAsia="仿宋_GB2312" w:cs="仿宋_GB2312"/>
          <w:color w:val="000000"/>
          <w:kern w:val="0"/>
          <w:sz w:val="28"/>
          <w:szCs w:val="28"/>
          <w:highlight w:val="none"/>
          <w:u w:val="single"/>
          <w:lang w:val="en-US" w:eastAsia="zh-CN" w:bidi="ar"/>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资金来源：</w:t>
      </w:r>
      <w:r>
        <w:rPr>
          <w:rFonts w:hint="eastAsia" w:ascii="仿宋_GB2312" w:hAnsi="仿宋_GB2312" w:eastAsia="仿宋_GB2312" w:cs="仿宋_GB2312"/>
          <w:color w:val="000000"/>
          <w:kern w:val="0"/>
          <w:sz w:val="28"/>
          <w:szCs w:val="28"/>
          <w:highlight w:val="none"/>
          <w:u w:val="single"/>
          <w:lang w:val="en-US" w:eastAsia="zh-CN" w:bidi="ar"/>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工程规模/承包范围：包括但不限于苗木采购、绿化种植、场地整理、水电安装、浇灌设施建设及管理养护等，群体工程附《承包人承揽工程项目一览表》（附件1）</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二、合同工期</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计划开工日期：</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实际</w:t>
      </w:r>
      <w:r>
        <w:rPr>
          <w:rFonts w:hint="eastAsia" w:ascii="仿宋_GB2312" w:hAnsi="仿宋_GB2312" w:eastAsia="仿宋_GB2312" w:cs="仿宋_GB2312"/>
          <w:color w:val="000000"/>
          <w:sz w:val="28"/>
          <w:szCs w:val="28"/>
          <w:highlight w:val="none"/>
        </w:rPr>
        <w:t>开工日期以发包人发出的开工通知载明的日期为准</w:t>
      </w:r>
      <w:r>
        <w:rPr>
          <w:rFonts w:hint="eastAsia" w:ascii="仿宋_GB2312" w:hAnsi="仿宋_GB2312" w:eastAsia="仿宋_GB2312" w:cs="仿宋_GB2312"/>
          <w:color w:val="000000"/>
          <w:sz w:val="28"/>
          <w:szCs w:val="28"/>
          <w:highlight w:val="none"/>
          <w:lang w:eastAsia="zh-CN"/>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计划竣工日期：</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eastAsia="zh-CN"/>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工期总日历天数：</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天</w:t>
      </w:r>
      <w:r>
        <w:rPr>
          <w:rFonts w:hint="eastAsia" w:ascii="仿宋_GB2312" w:hAnsi="仿宋_GB2312" w:eastAsia="仿宋_GB2312" w:cs="仿宋_GB2312"/>
          <w:color w:val="000000"/>
          <w:sz w:val="28"/>
          <w:szCs w:val="28"/>
          <w:highlight w:val="none"/>
          <w:lang w:eastAsia="zh-CN"/>
        </w:rPr>
        <w:t>，阶段性工期：</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阶段性工期若</w:t>
      </w:r>
      <w:r>
        <w:rPr>
          <w:rFonts w:hint="eastAsia" w:ascii="仿宋_GB2312" w:hAnsi="仿宋_GB2312" w:eastAsia="仿宋_GB2312" w:cs="仿宋_GB2312"/>
          <w:color w:val="000000"/>
          <w:sz w:val="28"/>
          <w:szCs w:val="28"/>
          <w:highlight w:val="none"/>
        </w:rPr>
        <w:t>无则填“无”</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工期总日历天数与根据前述计划开竣工日期计算的工期天数不一致的，以开工通知载明的实际开工日期计算实际工期总日历天数为准。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default" w:ascii="仿宋_GB2312" w:hAnsi="仿宋_GB2312" w:eastAsia="仿宋_GB2312" w:cs="仿宋_GB2312"/>
          <w:color w:val="000000"/>
          <w:sz w:val="28"/>
          <w:szCs w:val="28"/>
          <w:highlight w:val="none"/>
          <w:lang w:val="en-US"/>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阶段性工期要求：</w:t>
      </w:r>
      <w:r>
        <w:rPr>
          <w:rFonts w:hint="eastAsia" w:ascii="仿宋_GB2312" w:hAnsi="仿宋_GB2312" w:eastAsia="仿宋_GB2312" w:cs="仿宋_GB2312"/>
          <w:color w:val="000000"/>
          <w:sz w:val="28"/>
          <w:szCs w:val="28"/>
          <w:highlight w:val="none"/>
          <w:u w:val="single"/>
          <w:lang w:val="en-US" w:eastAsia="zh-CN"/>
        </w:rPr>
        <w:t xml:space="preserve">                      </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三、质量标准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工程质量符合</w:t>
      </w:r>
      <w:r>
        <w:rPr>
          <w:rFonts w:hint="eastAsia" w:ascii="仿宋_GB2312" w:hAnsi="仿宋_GB2312" w:eastAsia="仿宋_GB2312" w:cs="仿宋_GB2312"/>
          <w:color w:val="000000"/>
          <w:sz w:val="28"/>
          <w:szCs w:val="28"/>
          <w:highlight w:val="none"/>
          <w:u w:val="single"/>
        </w:rPr>
        <w:t>《园林绿化工程施工及验收规范》（CJJ82-2012）</w:t>
      </w:r>
      <w:r>
        <w:rPr>
          <w:rFonts w:hint="eastAsia" w:ascii="仿宋_GB2312" w:hAnsi="仿宋_GB2312" w:eastAsia="仿宋_GB2312" w:cs="仿宋_GB2312"/>
          <w:color w:val="000000"/>
          <w:sz w:val="28"/>
          <w:szCs w:val="28"/>
          <w:highlight w:val="none"/>
        </w:rPr>
        <w:t>标准</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同时</w:t>
      </w:r>
      <w:r>
        <w:rPr>
          <w:rFonts w:hint="eastAsia" w:ascii="仿宋_GB2312" w:hAnsi="仿宋_GB2312" w:eastAsia="仿宋_GB2312" w:cs="仿宋_GB2312"/>
          <w:color w:val="000000"/>
          <w:sz w:val="28"/>
          <w:szCs w:val="28"/>
          <w:highlight w:val="none"/>
        </w:rPr>
        <w:t>本工程质量达到</w:t>
      </w:r>
      <w:r>
        <w:rPr>
          <w:rStyle w:val="27"/>
          <w:rFonts w:hint="eastAsia" w:ascii="仿宋_GB2312" w:hAnsi="仿宋_GB2312" w:eastAsia="仿宋_GB2312" w:cs="仿宋_GB2312"/>
          <w:b w:val="0"/>
          <w:bCs w:val="0"/>
          <w:color w:val="000000"/>
          <w:sz w:val="28"/>
          <w:szCs w:val="28"/>
          <w:highlight w:val="none"/>
          <w:u w:val="single"/>
        </w:rPr>
        <w:t>合格</w:t>
      </w:r>
      <w:r>
        <w:rPr>
          <w:rFonts w:hint="eastAsia" w:ascii="仿宋_GB2312" w:hAnsi="仿宋_GB2312" w:eastAsia="仿宋_GB2312" w:cs="仿宋_GB2312"/>
          <w:color w:val="000000"/>
          <w:sz w:val="28"/>
          <w:szCs w:val="28"/>
          <w:highlight w:val="none"/>
        </w:rPr>
        <w:t>等级，保证苗木成活率及景观效果满足设计要求，同时执行江门市园林绿化工程地方质量管控要求；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园林绿化养护质量符合《园林绿化养护标准》（CJJ/T287）标准</w:t>
      </w:r>
      <w:r>
        <w:rPr>
          <w:rFonts w:hint="eastAsia" w:ascii="仿宋_GB2312" w:hAnsi="仿宋_GB2312" w:eastAsia="仿宋_GB2312" w:cs="仿宋_GB2312"/>
          <w:color w:val="000000"/>
          <w:sz w:val="28"/>
          <w:szCs w:val="28"/>
          <w:highlight w:val="none"/>
          <w:lang w:val="en-US" w:eastAsia="zh-CN"/>
        </w:rPr>
        <w:t>或□</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地方标准中</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级标准</w:t>
      </w:r>
      <w:r>
        <w:rPr>
          <w:rFonts w:hint="eastAsia" w:ascii="仿宋_GB2312" w:hAnsi="仿宋_GB2312" w:eastAsia="仿宋_GB2312" w:cs="仿宋_GB2312"/>
          <w:color w:val="000000"/>
          <w:sz w:val="28"/>
          <w:szCs w:val="28"/>
          <w:highlight w:val="none"/>
        </w:rPr>
        <w:t>。</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四、签约合同价与合同价格形式</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1.发包人向承包人支付的</w:t>
      </w:r>
      <w:r>
        <w:rPr>
          <w:rFonts w:hint="eastAsia" w:ascii="仿宋_GB2312" w:hAnsi="仿宋_GB2312" w:eastAsia="仿宋_GB2312" w:cs="仿宋_GB2312"/>
          <w:color w:val="000000"/>
          <w:sz w:val="28"/>
          <w:szCs w:val="28"/>
          <w:highlight w:val="none"/>
        </w:rPr>
        <w:t>签约合同</w:t>
      </w:r>
      <w:r>
        <w:rPr>
          <w:rFonts w:hint="eastAsia" w:ascii="仿宋_GB2312" w:hAnsi="仿宋_GB2312" w:eastAsia="仿宋_GB2312" w:cs="仿宋_GB2312"/>
          <w:color w:val="000000"/>
          <w:sz w:val="28"/>
          <w:szCs w:val="28"/>
          <w:highlight w:val="none"/>
          <w:lang w:val="en-US" w:eastAsia="zh-CN"/>
        </w:rPr>
        <w:t>预算</w:t>
      </w:r>
      <w:r>
        <w:rPr>
          <w:rFonts w:hint="eastAsia" w:ascii="仿宋_GB2312" w:hAnsi="仿宋_GB2312" w:eastAsia="仿宋_GB2312" w:cs="仿宋_GB2312"/>
          <w:color w:val="000000"/>
          <w:sz w:val="28"/>
          <w:szCs w:val="28"/>
          <w:highlight w:val="none"/>
        </w:rPr>
        <w:t>价</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含税，以下简称签约价</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为：人民币（大写）</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元（¥</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元）</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该</w:t>
      </w:r>
      <w:r>
        <w:rPr>
          <w:rFonts w:hint="eastAsia" w:ascii="仿宋_GB2312" w:hAnsi="仿宋_GB2312" w:eastAsia="仿宋_GB2312" w:cs="仿宋_GB2312"/>
          <w:color w:val="000000"/>
          <w:sz w:val="28"/>
          <w:szCs w:val="28"/>
          <w:highlight w:val="none"/>
        </w:rPr>
        <w:t>合同价款包含苗木采购、种植、施工、养护、人工、机械、税金</w:t>
      </w:r>
      <w:r>
        <w:rPr>
          <w:rFonts w:hint="eastAsia" w:ascii="仿宋_GB2312" w:hAnsi="仿宋_GB2312" w:eastAsia="仿宋_GB2312" w:cs="仿宋_GB2312"/>
          <w:color w:val="000000"/>
          <w:sz w:val="28"/>
          <w:szCs w:val="28"/>
          <w:highlight w:val="none"/>
          <w:lang w:val="en-US" w:eastAsia="zh-CN"/>
        </w:rPr>
        <w:t>等本合同履行过程中所需的一切费用，未经双方协商一致的，发包人无需向承包人另行支付款项）</w:t>
      </w:r>
      <w:r>
        <w:rPr>
          <w:rFonts w:hint="eastAsia" w:ascii="仿宋_GB2312" w:hAnsi="仿宋_GB2312" w:eastAsia="仿宋_GB2312" w:cs="仿宋_GB2312"/>
          <w:color w:val="000000"/>
          <w:sz w:val="28"/>
          <w:szCs w:val="28"/>
          <w:highlight w:val="none"/>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合同价格形式：</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（单价合同/总价合同/其他）。</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五、承包人项目负责人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Style w:val="27"/>
          <w:rFonts w:hint="eastAsia" w:ascii="仿宋_GB2312" w:hAnsi="仿宋_GB2312" w:eastAsia="仿宋_GB2312" w:cs="仿宋_GB2312"/>
          <w:b w:val="0"/>
          <w:bCs w:val="0"/>
          <w:color w:val="000000"/>
          <w:kern w:val="0"/>
          <w:sz w:val="28"/>
          <w:szCs w:val="28"/>
          <w:highlight w:val="none"/>
          <w:u w:val="single"/>
          <w:lang w:val="en-US" w:eastAsia="zh-CN" w:bidi="ar"/>
        </w:rPr>
      </w:pPr>
      <w:r>
        <w:rPr>
          <w:rFonts w:hint="eastAsia" w:ascii="仿宋_GB2312" w:hAnsi="仿宋_GB2312" w:eastAsia="仿宋_GB2312" w:cs="仿宋_GB2312"/>
          <w:b w:val="0"/>
          <w:bCs w:val="0"/>
          <w:color w:val="000000"/>
          <w:kern w:val="0"/>
          <w:sz w:val="28"/>
          <w:szCs w:val="28"/>
          <w:highlight w:val="none"/>
          <w:lang w:val="en-US" w:eastAsia="zh-CN" w:bidi="ar"/>
        </w:rPr>
        <w:t>姓名：</w:t>
      </w:r>
      <w:r>
        <w:rPr>
          <w:rFonts w:hint="eastAsia" w:ascii="仿宋_GB2312" w:hAnsi="仿宋_GB2312" w:eastAsia="仿宋_GB2312" w:cs="仿宋_GB2312"/>
          <w:b w:val="0"/>
          <w:bCs w:val="0"/>
          <w:color w:val="000000"/>
          <w:sz w:val="28"/>
          <w:szCs w:val="28"/>
          <w:highlight w:val="none"/>
          <w:u w:val="single"/>
          <w:lang w:val="en-US" w:eastAsia="zh-CN"/>
        </w:rPr>
        <w:t xml:space="preserve">          </w:t>
      </w:r>
      <w:r>
        <w:rPr>
          <w:rStyle w:val="27"/>
          <w:rFonts w:hint="eastAsia" w:ascii="仿宋_GB2312" w:hAnsi="仿宋_GB2312" w:eastAsia="仿宋_GB2312" w:cs="仿宋_GB2312"/>
          <w:b w:val="0"/>
          <w:bCs w:val="0"/>
          <w:color w:val="000000"/>
          <w:kern w:val="0"/>
          <w:sz w:val="28"/>
          <w:szCs w:val="28"/>
          <w:highlight w:val="none"/>
          <w:lang w:val="en-US" w:eastAsia="zh-CN" w:bidi="ar"/>
        </w:rPr>
        <w:t>；身份证号：</w:t>
      </w:r>
      <w:r>
        <w:rPr>
          <w:rStyle w:val="27"/>
          <w:rFonts w:hint="eastAsia" w:ascii="仿宋_GB2312" w:hAnsi="仿宋_GB2312" w:eastAsia="仿宋_GB2312" w:cs="仿宋_GB2312"/>
          <w:b w:val="0"/>
          <w:bCs w:val="0"/>
          <w:color w:val="000000"/>
          <w:kern w:val="0"/>
          <w:sz w:val="28"/>
          <w:szCs w:val="28"/>
          <w:highlight w:val="none"/>
          <w:u w:val="single"/>
          <w:lang w:val="en-US" w:eastAsia="zh-CN" w:bidi="ar"/>
        </w:rPr>
        <w:t xml:space="preserve">                 </w:t>
      </w:r>
      <w:r>
        <w:rPr>
          <w:rStyle w:val="27"/>
          <w:rFonts w:hint="eastAsia" w:ascii="仿宋_GB2312" w:hAnsi="仿宋_GB2312" w:eastAsia="仿宋_GB2312" w:cs="仿宋_GB2312"/>
          <w:b w:val="0"/>
          <w:bCs w:val="0"/>
          <w:color w:val="000000"/>
          <w:kern w:val="0"/>
          <w:sz w:val="28"/>
          <w:szCs w:val="28"/>
          <w:highlight w:val="none"/>
          <w:u w:val="none"/>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b w:val="0"/>
          <w:bCs w:val="0"/>
          <w:color w:val="000000"/>
          <w:kern w:val="0"/>
          <w:sz w:val="28"/>
          <w:szCs w:val="28"/>
          <w:highlight w:val="none"/>
          <w:lang w:val="en-US" w:eastAsia="zh-CN" w:bidi="ar"/>
        </w:rPr>
      </w:pPr>
      <w:r>
        <w:rPr>
          <w:rStyle w:val="27"/>
          <w:rFonts w:hint="eastAsia" w:ascii="仿宋_GB2312" w:hAnsi="仿宋_GB2312" w:eastAsia="仿宋_GB2312" w:cs="仿宋_GB2312"/>
          <w:b w:val="0"/>
          <w:bCs w:val="0"/>
          <w:color w:val="000000"/>
          <w:kern w:val="0"/>
          <w:sz w:val="28"/>
          <w:szCs w:val="28"/>
          <w:highlight w:val="none"/>
          <w:lang w:val="en-US" w:eastAsia="zh-CN" w:bidi="ar"/>
        </w:rPr>
        <w:t>职称：</w:t>
      </w:r>
      <w:r>
        <w:rPr>
          <w:rFonts w:hint="eastAsia" w:ascii="仿宋_GB2312" w:hAnsi="仿宋_GB2312" w:eastAsia="仿宋_GB2312" w:cs="仿宋_GB2312"/>
          <w:b w:val="0"/>
          <w:bCs w:val="0"/>
          <w:color w:val="000000"/>
          <w:sz w:val="28"/>
          <w:szCs w:val="28"/>
          <w:highlight w:val="none"/>
          <w:u w:val="single"/>
          <w:lang w:val="en-US" w:eastAsia="zh-CN"/>
        </w:rPr>
        <w:t xml:space="preserve">          </w:t>
      </w:r>
      <w:r>
        <w:rPr>
          <w:rFonts w:hint="eastAsia" w:ascii="仿宋_GB2312" w:hAnsi="仿宋_GB2312" w:eastAsia="仿宋_GB2312" w:cs="仿宋_GB2312"/>
          <w:b w:val="0"/>
          <w:bCs w:val="0"/>
          <w:color w:val="000000"/>
          <w:kern w:val="0"/>
          <w:sz w:val="28"/>
          <w:szCs w:val="28"/>
          <w:highlight w:val="none"/>
          <w:lang w:val="en-US" w:eastAsia="zh-CN" w:bidi="ar"/>
        </w:rPr>
        <w:t>；联系方式：</w:t>
      </w:r>
      <w:r>
        <w:rPr>
          <w:rFonts w:hint="eastAsia" w:ascii="仿宋_GB2312" w:hAnsi="仿宋_GB2312" w:eastAsia="仿宋_GB2312" w:cs="仿宋_GB2312"/>
          <w:b w:val="0"/>
          <w:bCs w:val="0"/>
          <w:color w:val="000000"/>
          <w:sz w:val="28"/>
          <w:szCs w:val="28"/>
          <w:highlight w:val="none"/>
          <w:u w:val="single"/>
          <w:lang w:val="en-US" w:eastAsia="zh-CN"/>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1.项目负责人须具备园林/风景园林相关专业职称，且无在建工程项目，前述材料应报发包人备案。2.项目负责人应与承包人建立劳动关系，承包人应提供项目负责人的劳动合同、社会保险参保情况给发包人备案。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六、预付款</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预付款：发包人在合同签订后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个工作日内支付合同价 的</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%作为工程预付款。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七</w:t>
      </w:r>
      <w:r>
        <w:rPr>
          <w:rFonts w:hint="eastAsia" w:ascii="仿宋_GB2312" w:hAnsi="仿宋_GB2312" w:eastAsia="仿宋_GB2312" w:cs="仿宋_GB2312"/>
          <w:color w:val="000000"/>
          <w:sz w:val="28"/>
          <w:szCs w:val="28"/>
          <w:highlight w:val="none"/>
        </w:rPr>
        <w:t>、合同文件构成</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本协议书与下列文件一起构成合同文件：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中标通知书（如有）；</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投标函及其附录（如有）；</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专用合同条款及其附件；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通用合同条款；</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技术标准和要求；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6.</w:t>
      </w:r>
      <w:r>
        <w:rPr>
          <w:rFonts w:hint="eastAsia" w:ascii="仿宋_GB2312" w:hAnsi="仿宋_GB2312" w:eastAsia="仿宋_GB2312" w:cs="仿宋_GB2312"/>
          <w:color w:val="000000"/>
          <w:sz w:val="28"/>
          <w:szCs w:val="28"/>
          <w:highlight w:val="none"/>
        </w:rPr>
        <w:t>图纸；</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7.</w:t>
      </w:r>
      <w:r>
        <w:rPr>
          <w:rFonts w:hint="eastAsia" w:ascii="仿宋_GB2312" w:hAnsi="仿宋_GB2312" w:eastAsia="仿宋_GB2312" w:cs="仿宋_GB2312"/>
          <w:color w:val="000000"/>
          <w:sz w:val="28"/>
          <w:szCs w:val="28"/>
          <w:highlight w:val="none"/>
        </w:rPr>
        <w:t>已标价工程量清单或预算书；</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rPr>
        <w:t>其他合同文件。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Style w:val="27"/>
          <w:rFonts w:hint="eastAsia" w:ascii="仿宋_GB2312" w:hAnsi="仿宋_GB2312" w:eastAsia="仿宋_GB2312" w:cs="仿宋_GB2312"/>
          <w:b/>
          <w:bCs/>
          <w:color w:val="000000"/>
          <w:kern w:val="0"/>
          <w:sz w:val="28"/>
          <w:szCs w:val="28"/>
          <w:highlight w:val="none"/>
          <w:lang w:val="en-US" w:eastAsia="zh-CN" w:bidi="ar"/>
        </w:rPr>
        <w:t>通用约定</w:t>
      </w:r>
      <w:r>
        <w:rPr>
          <w:rFonts w:hint="eastAsia" w:ascii="仿宋_GB2312" w:hAnsi="仿宋_GB2312" w:eastAsia="仿宋_GB2312" w:cs="仿宋_GB2312"/>
          <w:color w:val="000000"/>
          <w:kern w:val="0"/>
          <w:sz w:val="28"/>
          <w:szCs w:val="28"/>
          <w:highlight w:val="none"/>
          <w:lang w:val="en-US" w:eastAsia="zh-CN" w:bidi="ar"/>
        </w:rPr>
        <w:t>：在合同订立及履行过程中形成的与合同有关的文件均构成合同文件组成部分；同类文件以最新签署的为准。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八</w:t>
      </w:r>
      <w:r>
        <w:rPr>
          <w:rFonts w:hint="eastAsia" w:ascii="仿宋_GB2312" w:hAnsi="仿宋_GB2312" w:eastAsia="仿宋_GB2312" w:cs="仿宋_GB2312"/>
          <w:color w:val="000000"/>
          <w:sz w:val="28"/>
          <w:szCs w:val="28"/>
          <w:highlight w:val="none"/>
        </w:rPr>
        <w:t>、承诺</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（一）通用承诺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发包人承诺按照法律规定履行项目审批手续、筹集工程建设资金并按照合同约定的期限和方式支付合同价款，及时足额支付人工费用至农民工工资专用账户，并加强对承包人农民工工资支付的监督。</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承包人承诺按照法律规定及合同约定组织完成工程施工，确保工程质量和安全，不进行转包及违法分包，并在缺陷责任期及</w:t>
      </w:r>
      <w:r>
        <w:rPr>
          <w:rFonts w:hint="eastAsia" w:ascii="仿宋_GB2312" w:hAnsi="仿宋_GB2312" w:eastAsia="仿宋_GB2312" w:cs="仿宋_GB2312"/>
          <w:color w:val="000000"/>
          <w:sz w:val="28"/>
          <w:szCs w:val="28"/>
          <w:highlight w:val="none"/>
          <w:lang w:val="en-US" w:eastAsia="zh-CN"/>
        </w:rPr>
        <w:t>绿化养护</w:t>
      </w:r>
      <w:r>
        <w:rPr>
          <w:rFonts w:hint="eastAsia" w:ascii="仿宋_GB2312" w:hAnsi="仿宋_GB2312" w:eastAsia="仿宋_GB2312" w:cs="仿宋_GB2312"/>
          <w:color w:val="000000"/>
          <w:sz w:val="28"/>
          <w:szCs w:val="28"/>
          <w:highlight w:val="none"/>
        </w:rPr>
        <w:t>期内承担相应的</w:t>
      </w:r>
      <w:r>
        <w:rPr>
          <w:rFonts w:hint="eastAsia" w:ascii="仿宋_GB2312" w:hAnsi="仿宋_GB2312" w:eastAsia="仿宋_GB2312" w:cs="仿宋_GB2312"/>
          <w:color w:val="000000"/>
          <w:sz w:val="28"/>
          <w:szCs w:val="28"/>
          <w:highlight w:val="none"/>
          <w:lang w:val="en-US" w:eastAsia="zh-CN"/>
        </w:rPr>
        <w:t>苗木养护</w:t>
      </w:r>
      <w:r>
        <w:rPr>
          <w:rFonts w:hint="eastAsia" w:ascii="仿宋_GB2312" w:hAnsi="仿宋_GB2312" w:eastAsia="仿宋_GB2312" w:cs="仿宋_GB2312"/>
          <w:color w:val="000000"/>
          <w:sz w:val="28"/>
          <w:szCs w:val="28"/>
          <w:highlight w:val="none"/>
        </w:rPr>
        <w:t>责任；按照有关规定开设农民工工资专用账户，专项用于支付本工程农民工工资，工资拨付周期不超过1个月。</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招投标项目双方承诺不再就同一工程另行签订与合同实质性内容相背离的协议。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560" w:firstLineChars="200"/>
        <w:jc w:val="left"/>
        <w:textAlignment w:val="auto"/>
        <w:rPr>
          <w:rFonts w:hint="eastAsia" w:ascii="仿宋_GB2312" w:hAnsi="仿宋_GB2312" w:eastAsia="仿宋_GB2312" w:cs="仿宋_GB2312"/>
          <w:b w:val="0"/>
          <w:bCs w:val="0"/>
          <w:color w:val="000000"/>
          <w:kern w:val="2"/>
          <w:sz w:val="28"/>
          <w:szCs w:val="28"/>
          <w:highlight w:val="none"/>
          <w:lang w:bidi="ar-SA"/>
        </w:rPr>
      </w:pPr>
      <w:r>
        <w:rPr>
          <w:rFonts w:hint="eastAsia" w:ascii="仿宋_GB2312" w:hAnsi="仿宋_GB2312" w:eastAsia="仿宋_GB2312" w:cs="仿宋_GB2312"/>
          <w:b w:val="0"/>
          <w:bCs w:val="0"/>
          <w:color w:val="000000"/>
          <w:kern w:val="2"/>
          <w:sz w:val="28"/>
          <w:szCs w:val="28"/>
          <w:highlight w:val="none"/>
          <w:lang w:val="en-US" w:eastAsia="zh-CN" w:bidi="ar-SA"/>
        </w:rPr>
        <w:t>4.承包人承诺：严格执行江门市农民工实名制用工、苗木质量管控、园林绿化养护等地方规定。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九</w:t>
      </w:r>
      <w:r>
        <w:rPr>
          <w:rFonts w:hint="eastAsia" w:ascii="仿宋_GB2312" w:hAnsi="仿宋_GB2312" w:eastAsia="仿宋_GB2312" w:cs="仿宋_GB2312"/>
          <w:color w:val="000000"/>
          <w:sz w:val="28"/>
          <w:szCs w:val="28"/>
          <w:highlight w:val="none"/>
        </w:rPr>
        <w:t>、词语含义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本协议书中词语含义与通用合同条款、专用合同条款中赋予的含义相同。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十、签订时间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本合同于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年</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月</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日签订。</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十</w:t>
      </w:r>
      <w:r>
        <w:rPr>
          <w:rFonts w:hint="eastAsia" w:ascii="仿宋_GB2312" w:hAnsi="仿宋_GB2312" w:eastAsia="仿宋_GB2312" w:cs="仿宋_GB2312"/>
          <w:color w:val="000000"/>
          <w:sz w:val="28"/>
          <w:szCs w:val="28"/>
          <w:highlight w:val="none"/>
          <w:lang w:eastAsia="zh-CN"/>
        </w:rPr>
        <w:t>一</w:t>
      </w:r>
      <w:r>
        <w:rPr>
          <w:rFonts w:hint="eastAsia" w:ascii="仿宋_GB2312" w:hAnsi="仿宋_GB2312" w:eastAsia="仿宋_GB2312" w:cs="仿宋_GB2312"/>
          <w:color w:val="000000"/>
          <w:sz w:val="28"/>
          <w:szCs w:val="28"/>
          <w:highlight w:val="none"/>
        </w:rPr>
        <w:t>、签订地点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本合同在</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（江门市</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区/县/市）签订。</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十</w:t>
      </w:r>
      <w:r>
        <w:rPr>
          <w:rFonts w:hint="eastAsia" w:ascii="仿宋_GB2312" w:hAnsi="仿宋_GB2312" w:eastAsia="仿宋_GB2312" w:cs="仿宋_GB2312"/>
          <w:color w:val="000000"/>
          <w:sz w:val="28"/>
          <w:szCs w:val="28"/>
          <w:highlight w:val="none"/>
          <w:lang w:eastAsia="zh-CN"/>
        </w:rPr>
        <w:t>二</w:t>
      </w:r>
      <w:r>
        <w:rPr>
          <w:rFonts w:hint="eastAsia" w:ascii="仿宋_GB2312" w:hAnsi="仿宋_GB2312" w:eastAsia="仿宋_GB2312" w:cs="仿宋_GB2312"/>
          <w:color w:val="000000"/>
          <w:sz w:val="28"/>
          <w:szCs w:val="28"/>
          <w:highlight w:val="none"/>
        </w:rPr>
        <w:t>、补充协议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合同未尽事宜，合同当事人另行签订补充协议，补充协议是合同的组成部分。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十</w:t>
      </w:r>
      <w:r>
        <w:rPr>
          <w:rFonts w:hint="eastAsia" w:ascii="仿宋_GB2312" w:hAnsi="仿宋_GB2312" w:eastAsia="仿宋_GB2312" w:cs="仿宋_GB2312"/>
          <w:color w:val="000000"/>
          <w:sz w:val="28"/>
          <w:szCs w:val="28"/>
          <w:highlight w:val="none"/>
          <w:lang w:eastAsia="zh-CN"/>
        </w:rPr>
        <w:t>三</w:t>
      </w:r>
      <w:r>
        <w:rPr>
          <w:rFonts w:hint="eastAsia" w:ascii="仿宋_GB2312" w:hAnsi="仿宋_GB2312" w:eastAsia="仿宋_GB2312" w:cs="仿宋_GB2312"/>
          <w:color w:val="000000"/>
          <w:sz w:val="28"/>
          <w:szCs w:val="28"/>
          <w:highlight w:val="none"/>
        </w:rPr>
        <w:t>、合同生效</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本合同自双方法定代表人或委托代理人签字并加盖公章之日起生效。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十</w:t>
      </w:r>
      <w:r>
        <w:rPr>
          <w:rFonts w:hint="eastAsia" w:ascii="仿宋_GB2312" w:hAnsi="仿宋_GB2312" w:eastAsia="仿宋_GB2312" w:cs="仿宋_GB2312"/>
          <w:color w:val="000000"/>
          <w:sz w:val="28"/>
          <w:szCs w:val="28"/>
          <w:highlight w:val="none"/>
          <w:lang w:eastAsia="zh-CN"/>
        </w:rPr>
        <w:t>四</w:t>
      </w:r>
      <w:r>
        <w:rPr>
          <w:rFonts w:hint="eastAsia" w:ascii="仿宋_GB2312" w:hAnsi="仿宋_GB2312" w:eastAsia="仿宋_GB2312" w:cs="仿宋_GB2312"/>
          <w:color w:val="000000"/>
          <w:sz w:val="28"/>
          <w:szCs w:val="28"/>
          <w:highlight w:val="none"/>
        </w:rPr>
        <w:t>、合同份数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本合同一式</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份，均具有同等法律效力，发包人执</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份，承包人执</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份，如需备案另增备案份数：</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（本页无正文）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发包人：（公章）                 承包人：（公章）</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法定代表人或其委托代理人：     法定代表人或其委托代理人：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（签字）                       （签字）</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kern w:val="0"/>
          <w:sz w:val="28"/>
          <w:szCs w:val="28"/>
          <w:highlight w:val="none"/>
          <w:lang w:val="en-US" w:eastAsia="zh-CN" w:bidi="ar"/>
        </w:rPr>
        <w:t>统一社会信用代码:</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统一社会信用代码:</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none"/>
          <w:lang w:val="en-US" w:eastAsia="zh-CN"/>
        </w:rPr>
      </w:pPr>
      <w:r>
        <w:rPr>
          <w:rFonts w:hint="eastAsia" w:ascii="仿宋_GB2312" w:hAnsi="仿宋_GB2312" w:eastAsia="仿宋_GB2312" w:cs="仿宋_GB2312"/>
          <w:color w:val="000000"/>
          <w:kern w:val="0"/>
          <w:sz w:val="28"/>
          <w:szCs w:val="28"/>
          <w:highlight w:val="none"/>
          <w:lang w:val="en-US" w:eastAsia="zh-CN" w:bidi="ar"/>
        </w:rPr>
        <w:t>地址:</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地址:</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none"/>
          <w:lang w:val="en-US" w:eastAsia="zh-CN"/>
        </w:rPr>
      </w:pPr>
      <w:r>
        <w:rPr>
          <w:rFonts w:hint="eastAsia" w:ascii="仿宋_GB2312" w:hAnsi="仿宋_GB2312" w:eastAsia="仿宋_GB2312" w:cs="仿宋_GB2312"/>
          <w:color w:val="000000"/>
          <w:kern w:val="0"/>
          <w:sz w:val="28"/>
          <w:szCs w:val="28"/>
          <w:highlight w:val="none"/>
          <w:lang w:val="en-US" w:eastAsia="zh-CN" w:bidi="ar"/>
        </w:rPr>
        <w:t>邮政编码:</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邮政编码:</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none"/>
          <w:lang w:val="en-US" w:eastAsia="zh-CN"/>
        </w:rPr>
      </w:pPr>
      <w:r>
        <w:rPr>
          <w:rFonts w:hint="eastAsia" w:ascii="仿宋_GB2312" w:hAnsi="仿宋_GB2312" w:eastAsia="仿宋_GB2312" w:cs="仿宋_GB2312"/>
          <w:color w:val="000000"/>
          <w:kern w:val="0"/>
          <w:sz w:val="28"/>
          <w:szCs w:val="28"/>
          <w:highlight w:val="none"/>
          <w:lang w:val="en-US" w:eastAsia="zh-CN" w:bidi="ar"/>
        </w:rPr>
        <w:t>法定代表人:</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法定代表人:</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none"/>
          <w:lang w:val="en-US" w:eastAsia="zh-CN"/>
        </w:rPr>
      </w:pPr>
      <w:r>
        <w:rPr>
          <w:rFonts w:hint="eastAsia" w:ascii="仿宋_GB2312" w:hAnsi="仿宋_GB2312" w:eastAsia="仿宋_GB2312" w:cs="仿宋_GB2312"/>
          <w:color w:val="000000"/>
          <w:kern w:val="0"/>
          <w:sz w:val="28"/>
          <w:szCs w:val="28"/>
          <w:highlight w:val="none"/>
          <w:lang w:val="en-US" w:eastAsia="zh-CN" w:bidi="ar"/>
        </w:rPr>
        <w:t>委托代理人:</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委托代理人:</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kern w:val="0"/>
          <w:sz w:val="28"/>
          <w:szCs w:val="28"/>
          <w:highlight w:val="none"/>
          <w:lang w:val="en-US" w:eastAsia="zh-CN" w:bidi="ar"/>
        </w:rPr>
        <w:t>电话:</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电话:</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kern w:val="0"/>
          <w:sz w:val="28"/>
          <w:szCs w:val="28"/>
          <w:highlight w:val="none"/>
          <w:lang w:val="en-US" w:eastAsia="zh-CN" w:bidi="ar"/>
        </w:rPr>
        <w:t>传真:</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传真:</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none"/>
          <w:lang w:val="en-US" w:eastAsia="zh-CN"/>
        </w:rPr>
      </w:pPr>
      <w:r>
        <w:rPr>
          <w:rFonts w:hint="eastAsia" w:ascii="仿宋_GB2312" w:hAnsi="仿宋_GB2312" w:eastAsia="仿宋_GB2312" w:cs="仿宋_GB2312"/>
          <w:color w:val="000000"/>
          <w:kern w:val="0"/>
          <w:sz w:val="28"/>
          <w:szCs w:val="28"/>
          <w:highlight w:val="none"/>
          <w:lang w:val="en-US" w:eastAsia="zh-CN" w:bidi="ar"/>
        </w:rPr>
        <w:t>电子信箱:</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电子信箱:</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sz w:val="28"/>
          <w:szCs w:val="28"/>
          <w:highlight w:val="none"/>
          <w:u w:val="none"/>
          <w:lang w:val="en-US" w:eastAsia="zh-CN"/>
        </w:rPr>
      </w:pPr>
      <w:r>
        <w:rPr>
          <w:rFonts w:hint="eastAsia" w:ascii="仿宋_GB2312" w:hAnsi="仿宋_GB2312" w:eastAsia="仿宋_GB2312" w:cs="仿宋_GB2312"/>
          <w:color w:val="000000"/>
          <w:kern w:val="0"/>
          <w:sz w:val="28"/>
          <w:szCs w:val="28"/>
          <w:highlight w:val="none"/>
          <w:lang w:val="en-US" w:eastAsia="zh-CN" w:bidi="ar"/>
        </w:rPr>
        <w:t>开户银行:</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开户银行:</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仿宋_GB2312" w:hAnsi="仿宋_GB2312" w:eastAsia="仿宋_GB2312" w:cs="仿宋_GB2312"/>
          <w:color w:val="000000"/>
          <w:kern w:val="0"/>
          <w:sz w:val="28"/>
          <w:szCs w:val="28"/>
          <w:highlight w:val="none"/>
          <w:u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账号:</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
        </w:rPr>
        <w:t>账号:</w:t>
      </w:r>
      <w:r>
        <w:rPr>
          <w:rFonts w:hint="eastAsia" w:ascii="仿宋_GB2312" w:hAnsi="仿宋_GB2312" w:eastAsia="仿宋_GB2312" w:cs="仿宋_GB2312"/>
          <w:color w:val="000000"/>
          <w:sz w:val="28"/>
          <w:szCs w:val="28"/>
          <w:highlight w:val="none"/>
          <w:u w:val="single"/>
          <w:lang w:val="en-US" w:eastAsia="zh-CN"/>
        </w:rPr>
        <w:t xml:space="preserve">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br w:type="page"/>
      </w:r>
      <w:r>
        <w:rPr>
          <w:rFonts w:hint="eastAsia" w:ascii="方正黑体_GBK" w:hAnsi="方正黑体_GBK" w:eastAsia="方正黑体_GBK" w:cs="方正黑体_GBK"/>
          <w:b w:val="0"/>
          <w:bCs w:val="0"/>
          <w:color w:val="000000"/>
          <w:sz w:val="32"/>
          <w:szCs w:val="32"/>
          <w:highlight w:val="none"/>
        </w:rPr>
        <w:t>第二部分 通用合同条款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right="0" w:firstLine="638" w:firstLineChars="228"/>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【通用合同条款共计20条，采用《建设工程施工合同（示范文本） 》（GF-2017-0201）的“通用合同条款”。】</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46" w:name="_Toc351203495"/>
      <w:r>
        <w:rPr>
          <w:rFonts w:hint="eastAsia" w:ascii="仿宋_GB2312" w:hAnsi="仿宋_GB2312" w:eastAsia="仿宋_GB2312" w:cs="仿宋_GB2312"/>
          <w:b/>
          <w:bCs w:val="0"/>
          <w:color w:val="000000"/>
          <w:sz w:val="28"/>
          <w:szCs w:val="28"/>
        </w:rPr>
        <w:t>1.</w:t>
      </w:r>
      <w:bookmarkStart w:id="47" w:name="_Toc303538972"/>
      <w:bookmarkEnd w:id="47"/>
      <w:bookmarkStart w:id="48" w:name="_Toc303538976"/>
      <w:bookmarkEnd w:id="48"/>
      <w:bookmarkStart w:id="49" w:name="_Toc303538974"/>
      <w:bookmarkEnd w:id="49"/>
      <w:bookmarkStart w:id="50" w:name="_Toc303538975"/>
      <w:bookmarkEnd w:id="50"/>
      <w:bookmarkStart w:id="51" w:name="_Toc303538973"/>
      <w:bookmarkEnd w:id="51"/>
      <w:bookmarkStart w:id="52" w:name="_Toc296346528"/>
      <w:bookmarkStart w:id="53" w:name="_Toc296503027"/>
      <w:r>
        <w:rPr>
          <w:rFonts w:hint="eastAsia" w:ascii="仿宋_GB2312" w:hAnsi="仿宋_GB2312" w:eastAsia="仿宋_GB2312" w:cs="仿宋_GB2312"/>
          <w:b/>
          <w:bCs w:val="0"/>
          <w:color w:val="000000"/>
          <w:sz w:val="28"/>
          <w:szCs w:val="28"/>
        </w:rPr>
        <w:t xml:space="preserve"> 一般约定</w:t>
      </w:r>
      <w:bookmarkEnd w:id="46"/>
      <w:bookmarkEnd w:id="52"/>
      <w:bookmarkEnd w:id="53"/>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54" w:name="_Toc296346529"/>
      <w:bookmarkStart w:id="55" w:name="_Toc296503028"/>
      <w:bookmarkStart w:id="56" w:name="_Toc337558728"/>
      <w:bookmarkStart w:id="57" w:name="_Toc351203496"/>
      <w:r>
        <w:rPr>
          <w:rFonts w:hint="eastAsia" w:ascii="仿宋_GB2312" w:hAnsi="仿宋_GB2312" w:eastAsia="仿宋_GB2312" w:cs="仿宋_GB2312"/>
          <w:b/>
          <w:bCs w:val="0"/>
          <w:color w:val="000000"/>
          <w:sz w:val="28"/>
          <w:szCs w:val="28"/>
        </w:rPr>
        <w:t>1.1词语定义</w:t>
      </w:r>
      <w:bookmarkEnd w:id="54"/>
      <w:bookmarkEnd w:id="55"/>
      <w:bookmarkEnd w:id="56"/>
      <w:r>
        <w:rPr>
          <w:rFonts w:hint="eastAsia" w:ascii="仿宋_GB2312" w:hAnsi="仿宋_GB2312" w:eastAsia="仿宋_GB2312" w:cs="仿宋_GB2312"/>
          <w:b/>
          <w:bCs w:val="0"/>
          <w:color w:val="000000"/>
          <w:sz w:val="28"/>
          <w:szCs w:val="28"/>
        </w:rPr>
        <w:t>与解释</w:t>
      </w:r>
      <w:bookmarkEnd w:id="57"/>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合同协议书、通用合同条款、专用合同条款中的下列词语具有本款所赋予的含义：</w:t>
      </w:r>
    </w:p>
    <w:p>
      <w:pPr>
        <w:autoSpaceDE w:val="0"/>
        <w:autoSpaceDN w:val="0"/>
        <w:adjustRightInd w:val="0"/>
        <w:spacing w:beforeLines="0" w:afterLines="0" w:line="560" w:lineRule="exact"/>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 xml:space="preserve">    1.1.1 合同</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1.1.1.1 合同：</w:t>
      </w:r>
      <w:r>
        <w:rPr>
          <w:rFonts w:hint="eastAsia" w:ascii="仿宋_GB2312" w:hAnsi="仿宋_GB2312" w:eastAsia="仿宋_GB2312" w:cs="仿宋_GB2312"/>
          <w:color w:val="000000"/>
          <w:kern w:val="0"/>
          <w:sz w:val="28"/>
          <w:szCs w:val="28"/>
        </w:rPr>
        <w:t>是指根据法律规定和合同当事人约定具有约束力的文件，构成合同的文件包括合同协议书、中标通知书（如果有）、投标函及其附录（如果有）、专用合同条款</w:t>
      </w:r>
      <w:r>
        <w:rPr>
          <w:rFonts w:hint="eastAsia" w:ascii="仿宋_GB2312" w:hAnsi="仿宋_GB2312" w:eastAsia="仿宋_GB2312" w:cs="仿宋_GB2312"/>
          <w:color w:val="000000"/>
          <w:sz w:val="28"/>
          <w:szCs w:val="28"/>
        </w:rPr>
        <w:t>及其附件</w:t>
      </w:r>
      <w:r>
        <w:rPr>
          <w:rFonts w:hint="eastAsia" w:ascii="仿宋_GB2312" w:hAnsi="仿宋_GB2312" w:eastAsia="仿宋_GB2312" w:cs="仿宋_GB2312"/>
          <w:color w:val="000000"/>
          <w:kern w:val="0"/>
          <w:sz w:val="28"/>
          <w:szCs w:val="28"/>
        </w:rPr>
        <w:t>、通用合同条款、技术标准和要求、图纸、已标价工程量清单或预算书以及其他合同文件。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1.1.1.2 合同协议书：</w:t>
      </w:r>
      <w:r>
        <w:rPr>
          <w:rFonts w:hint="eastAsia" w:ascii="仿宋_GB2312" w:hAnsi="仿宋_GB2312" w:eastAsia="仿宋_GB2312" w:cs="仿宋_GB2312"/>
          <w:color w:val="000000"/>
          <w:kern w:val="0"/>
          <w:sz w:val="28"/>
          <w:szCs w:val="28"/>
        </w:rPr>
        <w:t>是指构成合同的由发包人和承包人共同签署的称为“合同协议书”的书面文件。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1.1.1.3 中标通知书：</w:t>
      </w:r>
      <w:r>
        <w:rPr>
          <w:rFonts w:hint="eastAsia" w:ascii="仿宋_GB2312" w:hAnsi="仿宋_GB2312" w:eastAsia="仿宋_GB2312" w:cs="仿宋_GB2312"/>
          <w:color w:val="000000"/>
          <w:kern w:val="0"/>
          <w:sz w:val="28"/>
          <w:szCs w:val="28"/>
        </w:rPr>
        <w:t>是指构成合同的由发包人通知承包人中标的书面文件。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1.1.1.4 投标函：</w:t>
      </w:r>
      <w:r>
        <w:rPr>
          <w:rFonts w:hint="eastAsia" w:ascii="仿宋_GB2312" w:hAnsi="仿宋_GB2312" w:eastAsia="仿宋_GB2312" w:cs="仿宋_GB2312"/>
          <w:color w:val="000000"/>
          <w:kern w:val="0"/>
          <w:sz w:val="28"/>
          <w:szCs w:val="28"/>
        </w:rPr>
        <w:t>是指构成合同的由承包人填写并签署的用于投标的称为“投标函”的文件。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1.1.1.5 投标函附录：</w:t>
      </w:r>
      <w:r>
        <w:rPr>
          <w:rFonts w:hint="eastAsia" w:ascii="仿宋_GB2312" w:hAnsi="仿宋_GB2312" w:eastAsia="仿宋_GB2312" w:cs="仿宋_GB2312"/>
          <w:color w:val="000000"/>
          <w:kern w:val="0"/>
          <w:sz w:val="28"/>
          <w:szCs w:val="28"/>
        </w:rPr>
        <w:t>是指构成合同的附在投标函后的称为“投标函附录”的文件。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1.1.1.6 技术标准和要求：</w:t>
      </w:r>
      <w:r>
        <w:rPr>
          <w:rFonts w:hint="eastAsia" w:ascii="仿宋_GB2312" w:hAnsi="仿宋_GB2312" w:eastAsia="仿宋_GB2312" w:cs="仿宋_GB2312"/>
          <w:color w:val="000000"/>
          <w:kern w:val="0"/>
          <w:sz w:val="28"/>
          <w:szCs w:val="28"/>
        </w:rPr>
        <w:t>是指构成合同的施工应当遵守的或指导施工的国家、行业或地方的技术标准和要求，以及合同约定的技术标准和要求。</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1.1.1.7 图纸：</w:t>
      </w:r>
      <w:r>
        <w:rPr>
          <w:rFonts w:hint="eastAsia" w:ascii="仿宋_GB2312" w:hAnsi="仿宋_GB2312" w:eastAsia="仿宋_GB2312" w:cs="仿宋_GB2312"/>
          <w:color w:val="000000"/>
          <w:kern w:val="0"/>
          <w:sz w:val="28"/>
          <w:szCs w:val="28"/>
        </w:rPr>
        <w:t>是指构成合同的图纸，包括由发包人按照合同约定提供或经发包人批准的设计文件、施工图、鸟瞰图及模型等，以及在合同履行过程中形成的图纸文件。图纸应当按照法律规定审查合格。</w:t>
      </w:r>
    </w:p>
    <w:p>
      <w:pPr>
        <w:autoSpaceDE w:val="0"/>
        <w:autoSpaceDN w:val="0"/>
        <w:adjustRightInd w:val="0"/>
        <w:spacing w:beforeLines="0" w:afterLines="0" w:line="560" w:lineRule="exact"/>
        <w:ind w:firstLine="548" w:firstLineChars="195"/>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1.1.1.8</w:t>
      </w:r>
      <w:r>
        <w:rPr>
          <w:rFonts w:hint="eastAsia" w:ascii="仿宋_GB2312" w:hAnsi="仿宋_GB2312" w:eastAsia="仿宋_GB2312" w:cs="仿宋_GB2312"/>
          <w:b w:val="0"/>
          <w:bCs w:val="0"/>
          <w:color w:val="000000"/>
          <w:kern w:val="0"/>
          <w:sz w:val="28"/>
          <w:szCs w:val="28"/>
        </w:rPr>
        <w:t xml:space="preserve"> </w:t>
      </w:r>
      <w:r>
        <w:rPr>
          <w:rFonts w:hint="eastAsia" w:ascii="仿宋_GB2312" w:hAnsi="仿宋_GB2312" w:eastAsia="仿宋_GB2312" w:cs="仿宋_GB2312"/>
          <w:b/>
          <w:bCs/>
          <w:color w:val="000000"/>
          <w:kern w:val="0"/>
          <w:sz w:val="28"/>
          <w:szCs w:val="28"/>
        </w:rPr>
        <w:t>已标价工程量清单：</w:t>
      </w:r>
      <w:r>
        <w:rPr>
          <w:rFonts w:hint="eastAsia" w:ascii="仿宋_GB2312" w:hAnsi="仿宋_GB2312" w:eastAsia="仿宋_GB2312" w:cs="仿宋_GB2312"/>
          <w:color w:val="000000"/>
          <w:kern w:val="0"/>
          <w:sz w:val="28"/>
          <w:szCs w:val="28"/>
        </w:rPr>
        <w:t>是指构成合同的由承包人按照规定的格式和要求填写并标明价格的工程量清单，包括说明和表格。</w:t>
      </w:r>
    </w:p>
    <w:p>
      <w:pPr>
        <w:autoSpaceDE w:val="0"/>
        <w:autoSpaceDN w:val="0"/>
        <w:adjustRightInd w:val="0"/>
        <w:spacing w:beforeLines="0" w:afterLines="0" w:line="560" w:lineRule="exact"/>
        <w:ind w:firstLine="548" w:firstLineChars="195"/>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1.1.1.9 预算书：</w:t>
      </w:r>
      <w:r>
        <w:rPr>
          <w:rFonts w:hint="eastAsia" w:ascii="仿宋_GB2312" w:hAnsi="仿宋_GB2312" w:eastAsia="仿宋_GB2312" w:cs="仿宋_GB2312"/>
          <w:color w:val="000000"/>
          <w:kern w:val="0"/>
          <w:sz w:val="28"/>
          <w:szCs w:val="28"/>
        </w:rPr>
        <w:t>是指构成合同的由承包人按照发包人规定的格式和要求编制的工程预算文件。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1.1.1.10 其他合同文件：</w:t>
      </w:r>
      <w:r>
        <w:rPr>
          <w:rFonts w:hint="eastAsia" w:ascii="仿宋_GB2312" w:hAnsi="仿宋_GB2312" w:eastAsia="仿宋_GB2312" w:cs="仿宋_GB2312"/>
          <w:color w:val="000000"/>
          <w:kern w:val="0"/>
          <w:sz w:val="28"/>
          <w:szCs w:val="28"/>
        </w:rPr>
        <w:t>是指经合同当事人约定的与工程施工有关的具有合同约束力的文件或书面协议。合同当事人可以在专用合同条款中进行约定。</w:t>
      </w:r>
    </w:p>
    <w:p>
      <w:pPr>
        <w:autoSpaceDE w:val="0"/>
        <w:autoSpaceDN w:val="0"/>
        <w:adjustRightInd w:val="0"/>
        <w:spacing w:beforeLines="0" w:afterLines="0" w:line="560" w:lineRule="exact"/>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 xml:space="preserve">    1.1.2 合同当事人及其他相关方</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1.1.2.1 合同当事人：</w:t>
      </w:r>
      <w:r>
        <w:rPr>
          <w:rFonts w:hint="eastAsia" w:ascii="仿宋_GB2312" w:hAnsi="仿宋_GB2312" w:eastAsia="仿宋_GB2312" w:cs="仿宋_GB2312"/>
          <w:color w:val="000000"/>
          <w:kern w:val="0"/>
          <w:sz w:val="28"/>
          <w:szCs w:val="28"/>
        </w:rPr>
        <w:t>是指发包人和（或）承包人。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1.1.2.2 发包人：</w:t>
      </w:r>
      <w:r>
        <w:rPr>
          <w:rFonts w:hint="eastAsia" w:ascii="仿宋_GB2312" w:hAnsi="仿宋_GB2312" w:eastAsia="仿宋_GB2312" w:cs="仿宋_GB2312"/>
          <w:color w:val="000000"/>
          <w:kern w:val="0"/>
          <w:sz w:val="28"/>
          <w:szCs w:val="28"/>
        </w:rPr>
        <w:t>是指与承包人签订合同协议书的当事人及取得该当事人资格的合法继承人。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1.1.2.3 承包人：</w:t>
      </w:r>
      <w:r>
        <w:rPr>
          <w:rFonts w:hint="eastAsia" w:ascii="仿宋_GB2312" w:hAnsi="仿宋_GB2312" w:eastAsia="仿宋_GB2312" w:cs="仿宋_GB2312"/>
          <w:color w:val="000000"/>
          <w:kern w:val="0"/>
          <w:sz w:val="28"/>
          <w:szCs w:val="28"/>
        </w:rPr>
        <w:t>是指与发包人签订合同协议书的，具有相应工程施工承包资质的当事人及取得该当事人资格的合法继承人。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1.1.2.4 监理人：</w:t>
      </w:r>
      <w:r>
        <w:rPr>
          <w:rFonts w:hint="eastAsia" w:ascii="仿宋_GB2312" w:hAnsi="仿宋_GB2312" w:eastAsia="仿宋_GB2312" w:cs="仿宋_GB2312"/>
          <w:color w:val="000000"/>
          <w:kern w:val="0"/>
          <w:sz w:val="28"/>
          <w:szCs w:val="28"/>
        </w:rPr>
        <w:t>是指在专用合同条款中指明的，受发包人委托按照法律规定进行工程监督管理的法人或其他组织。</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1.1.2.5 设计人：</w:t>
      </w:r>
      <w:r>
        <w:rPr>
          <w:rFonts w:hint="eastAsia" w:ascii="仿宋_GB2312" w:hAnsi="仿宋_GB2312" w:eastAsia="仿宋_GB2312" w:cs="仿宋_GB2312"/>
          <w:color w:val="000000"/>
          <w:kern w:val="0"/>
          <w:sz w:val="28"/>
          <w:szCs w:val="28"/>
        </w:rPr>
        <w:t>是指在专用合同条款中指明的，受发包人委托负责工程设计并具备相应工程设计资质的法人或其他组织。</w:t>
      </w:r>
    </w:p>
    <w:p>
      <w:pPr>
        <w:spacing w:beforeLines="0" w:afterLines="0" w:line="560" w:lineRule="exact"/>
        <w:ind w:firstLine="548" w:firstLineChars="195"/>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1.1.2.6 分包人：</w:t>
      </w:r>
      <w:bookmarkStart w:id="58" w:name="#go5"/>
      <w:bookmarkEnd w:id="58"/>
      <w:r>
        <w:rPr>
          <w:rFonts w:hint="eastAsia" w:ascii="仿宋_GB2312" w:hAnsi="仿宋_GB2312" w:eastAsia="仿宋_GB2312" w:cs="仿宋_GB2312"/>
          <w:color w:val="000000"/>
          <w:kern w:val="0"/>
          <w:sz w:val="28"/>
          <w:szCs w:val="28"/>
        </w:rPr>
        <w:t>是指按照法律规定和合同约定，分包部分工程或工作，并与承包人签订分包合同的具有相应资质的法人。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1.1.2.7 发包人代表：</w:t>
      </w:r>
      <w:r>
        <w:rPr>
          <w:rFonts w:hint="eastAsia" w:ascii="仿宋_GB2312" w:hAnsi="仿宋_GB2312" w:eastAsia="仿宋_GB2312" w:cs="仿宋_GB2312"/>
          <w:color w:val="000000"/>
          <w:kern w:val="0"/>
          <w:sz w:val="28"/>
          <w:szCs w:val="28"/>
        </w:rPr>
        <w:t>是指由发包人任命并派驻施工现场在发包人授权范围内行使发包人权利的人。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1.1.2.8 项目经理：</w:t>
      </w:r>
      <w:r>
        <w:rPr>
          <w:rFonts w:hint="eastAsia" w:ascii="仿宋_GB2312" w:hAnsi="仿宋_GB2312" w:eastAsia="仿宋_GB2312" w:cs="仿宋_GB2312"/>
          <w:color w:val="000000"/>
          <w:kern w:val="0"/>
          <w:sz w:val="28"/>
          <w:szCs w:val="28"/>
        </w:rPr>
        <w:t>是指由承包人任命并派驻施工现场，在承包人授权范围内负责合同履行，且按照法律规定具有相应资格的项目负责人。</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1.1.2.9 总监理工程师：</w:t>
      </w:r>
      <w:r>
        <w:rPr>
          <w:rFonts w:hint="eastAsia" w:ascii="仿宋_GB2312" w:hAnsi="仿宋_GB2312" w:eastAsia="仿宋_GB2312" w:cs="仿宋_GB2312"/>
          <w:color w:val="000000"/>
          <w:kern w:val="0"/>
          <w:sz w:val="28"/>
          <w:szCs w:val="28"/>
        </w:rPr>
        <w:t>是指由监理人任命并派驻施工现场进行工程监理的总负责人。</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 工程和设备</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1.1.3.1 工程：</w:t>
      </w:r>
      <w:r>
        <w:rPr>
          <w:rFonts w:hint="eastAsia" w:ascii="仿宋_GB2312" w:hAnsi="仿宋_GB2312" w:eastAsia="仿宋_GB2312" w:cs="仿宋_GB2312"/>
          <w:color w:val="000000"/>
          <w:kern w:val="0"/>
          <w:sz w:val="28"/>
          <w:szCs w:val="28"/>
        </w:rPr>
        <w:t>是指与合同协议书中工程承包范围对应的永久工程和（或）临时工程。</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1.1.3.2 永久工程：</w:t>
      </w:r>
      <w:r>
        <w:rPr>
          <w:rFonts w:hint="eastAsia" w:ascii="仿宋_GB2312" w:hAnsi="仿宋_GB2312" w:eastAsia="仿宋_GB2312" w:cs="仿宋_GB2312"/>
          <w:color w:val="000000"/>
          <w:kern w:val="0"/>
          <w:sz w:val="28"/>
          <w:szCs w:val="28"/>
        </w:rPr>
        <w:t>是指按合同约定建造并移交给发包人的工程，包括工程设备。</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1.1.3.3 临时工程：</w:t>
      </w:r>
      <w:r>
        <w:rPr>
          <w:rFonts w:hint="eastAsia" w:ascii="仿宋_GB2312" w:hAnsi="仿宋_GB2312" w:eastAsia="仿宋_GB2312" w:cs="仿宋_GB2312"/>
          <w:color w:val="000000"/>
          <w:kern w:val="0"/>
          <w:sz w:val="28"/>
          <w:szCs w:val="28"/>
        </w:rPr>
        <w:t>是指为完成合同约定的永久工程所修建的各类临时性工程，不包括施工设备。</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1.1.3.4 单位工程：</w:t>
      </w:r>
      <w:r>
        <w:rPr>
          <w:rFonts w:hint="eastAsia" w:ascii="仿宋_GB2312" w:hAnsi="仿宋_GB2312" w:eastAsia="仿宋_GB2312" w:cs="仿宋_GB2312"/>
          <w:color w:val="000000"/>
          <w:kern w:val="0"/>
          <w:sz w:val="28"/>
          <w:szCs w:val="28"/>
        </w:rPr>
        <w:t>是指在合同协议书中指明的，具备独立施工条件并能形成独立使用功能的永久工程。</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1.1.3.5 工程设备：</w:t>
      </w:r>
      <w:r>
        <w:rPr>
          <w:rFonts w:hint="eastAsia" w:ascii="仿宋_GB2312" w:hAnsi="仿宋_GB2312" w:eastAsia="仿宋_GB2312" w:cs="仿宋_GB2312"/>
          <w:color w:val="000000"/>
          <w:kern w:val="0"/>
          <w:sz w:val="28"/>
          <w:szCs w:val="28"/>
        </w:rPr>
        <w:t>是指构成永久工程的机电设备、金属结构设备、仪器及其他类似的设备和装置。</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1.1.3.6 施工设备：</w:t>
      </w:r>
      <w:r>
        <w:rPr>
          <w:rFonts w:hint="eastAsia" w:ascii="仿宋_GB2312" w:hAnsi="仿宋_GB2312" w:eastAsia="仿宋_GB2312" w:cs="仿宋_GB2312"/>
          <w:color w:val="000000"/>
          <w:kern w:val="0"/>
          <w:sz w:val="28"/>
          <w:szCs w:val="28"/>
        </w:rPr>
        <w:t>是指为完成合同约定的各项工作所需的设备、器具和其他物品，但不包括工程设备、临时工程和材料。</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1.1.3.7 施工现场：</w:t>
      </w:r>
      <w:r>
        <w:rPr>
          <w:rFonts w:hint="eastAsia" w:ascii="仿宋_GB2312" w:hAnsi="仿宋_GB2312" w:eastAsia="仿宋_GB2312" w:cs="仿宋_GB2312"/>
          <w:color w:val="000000"/>
          <w:kern w:val="0"/>
          <w:sz w:val="28"/>
          <w:szCs w:val="28"/>
        </w:rPr>
        <w:t>是指用于工程施工的场所，以及在专用合同条款中指明作为施工场所组成部分的其他场所，包括永久占地和临时占地。</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1.1.3.8临时设施：</w:t>
      </w:r>
      <w:r>
        <w:rPr>
          <w:rFonts w:hint="eastAsia" w:ascii="仿宋_GB2312" w:hAnsi="仿宋_GB2312" w:eastAsia="仿宋_GB2312" w:cs="仿宋_GB2312"/>
          <w:color w:val="000000"/>
          <w:kern w:val="0"/>
          <w:sz w:val="28"/>
          <w:szCs w:val="28"/>
        </w:rPr>
        <w:t>是指为完成合同约定的各项工作所服务的临时性生产和生活设施。</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1.1.3.9 永久占地：</w:t>
      </w:r>
      <w:r>
        <w:rPr>
          <w:rFonts w:hint="eastAsia" w:ascii="仿宋_GB2312" w:hAnsi="仿宋_GB2312" w:eastAsia="仿宋_GB2312" w:cs="仿宋_GB2312"/>
          <w:color w:val="000000"/>
          <w:kern w:val="0"/>
          <w:sz w:val="28"/>
          <w:szCs w:val="28"/>
        </w:rPr>
        <w:t>是指专用合同条款中指明为实施工程需永久占用的土地。</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1.1.3.10 临时占地：</w:t>
      </w:r>
      <w:r>
        <w:rPr>
          <w:rFonts w:hint="eastAsia" w:ascii="仿宋_GB2312" w:hAnsi="仿宋_GB2312" w:eastAsia="仿宋_GB2312" w:cs="仿宋_GB2312"/>
          <w:color w:val="000000"/>
          <w:kern w:val="0"/>
          <w:sz w:val="28"/>
          <w:szCs w:val="28"/>
        </w:rPr>
        <w:t>是指专用合同条款中指明为实施工程需要临时占用的土地。</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1.1.4 日期和期限</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1.1.4.1 开工日期：</w:t>
      </w:r>
      <w:r>
        <w:rPr>
          <w:rFonts w:hint="eastAsia" w:ascii="仿宋_GB2312" w:hAnsi="仿宋_GB2312" w:eastAsia="仿宋_GB2312" w:cs="仿宋_GB2312"/>
          <w:color w:val="000000"/>
          <w:kern w:val="0"/>
          <w:sz w:val="28"/>
          <w:szCs w:val="28"/>
        </w:rPr>
        <w:t>包括计划开工日期和实际开工日期。计划开工日期是指合同协议书约定的开工日期；实际开工日期是指监理人按照第7.3.2项〔开工通知〕约定发出的符合法律规定的开工通知中载明的开工日期。</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1.1.4.2 竣工日期：</w:t>
      </w:r>
      <w:r>
        <w:rPr>
          <w:rFonts w:hint="eastAsia" w:ascii="仿宋_GB2312" w:hAnsi="仿宋_GB2312" w:eastAsia="仿宋_GB2312" w:cs="仿宋_GB2312"/>
          <w:color w:val="000000"/>
          <w:kern w:val="0"/>
          <w:sz w:val="28"/>
          <w:szCs w:val="28"/>
        </w:rPr>
        <w:t xml:space="preserve">包括计划竣工日期和实际竣工日期。计划竣工日期是指合同协议书约定的竣工日期；实际竣工日期按照第13.2.3项〔竣工日期〕的约定确定。 </w:t>
      </w:r>
    </w:p>
    <w:p>
      <w:pPr>
        <w:spacing w:beforeLines="0" w:afterLines="0" w:line="560" w:lineRule="exact"/>
        <w:ind w:firstLine="570" w:firstLineChars="203"/>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kern w:val="0"/>
          <w:sz w:val="28"/>
          <w:szCs w:val="28"/>
        </w:rPr>
        <w:t>1.1.4.3 工期：</w:t>
      </w:r>
      <w:r>
        <w:rPr>
          <w:rFonts w:hint="eastAsia" w:ascii="仿宋_GB2312" w:hAnsi="仿宋_GB2312" w:eastAsia="仿宋_GB2312" w:cs="仿宋_GB2312"/>
          <w:color w:val="000000"/>
          <w:kern w:val="0"/>
          <w:sz w:val="28"/>
          <w:szCs w:val="28"/>
        </w:rPr>
        <w:t>是指在合同协议书约定的承包人完成工程所需的期限，包括按照合同约定所作的期限变更。</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1.1.4.4 缺陷责任期：</w:t>
      </w:r>
      <w:r>
        <w:rPr>
          <w:rFonts w:hint="eastAsia" w:ascii="仿宋_GB2312" w:hAnsi="仿宋_GB2312" w:eastAsia="仿宋_GB2312" w:cs="仿宋_GB2312"/>
          <w:color w:val="000000"/>
          <w:kern w:val="0"/>
          <w:sz w:val="28"/>
          <w:szCs w:val="28"/>
        </w:rPr>
        <w:t>是指承包人按照合同约定承担缺陷修复义务，且发包人预留质量保证金</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已缴纳履约保证金的除外</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的期限，自工程实际竣工日期起计算。</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1.1.4.5 保修期：</w:t>
      </w:r>
      <w:r>
        <w:rPr>
          <w:rFonts w:hint="eastAsia" w:ascii="仿宋_GB2312" w:hAnsi="仿宋_GB2312" w:eastAsia="仿宋_GB2312" w:cs="仿宋_GB2312"/>
          <w:color w:val="000000"/>
          <w:kern w:val="0"/>
          <w:sz w:val="28"/>
          <w:szCs w:val="28"/>
        </w:rPr>
        <w:t>是指承包人按照合同约定对工程承担保修责任的期限，从工程竣工验收合格之日起计算。</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1.1.4.6 基准日期：</w:t>
      </w:r>
      <w:r>
        <w:rPr>
          <w:rFonts w:hint="eastAsia" w:ascii="仿宋_GB2312" w:hAnsi="仿宋_GB2312" w:eastAsia="仿宋_GB2312" w:cs="仿宋_GB2312"/>
          <w:color w:val="000000"/>
          <w:kern w:val="0"/>
          <w:sz w:val="28"/>
          <w:szCs w:val="28"/>
        </w:rPr>
        <w:t>招标发包的工程以投标截止日前28天的日期为基准日期，直接发包的工程以合同签订日前28天的日期为基准日期。</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1.1.4.7 天：</w:t>
      </w:r>
      <w:r>
        <w:rPr>
          <w:rFonts w:hint="eastAsia" w:ascii="仿宋_GB2312" w:hAnsi="仿宋_GB2312" w:eastAsia="仿宋_GB2312" w:cs="仿宋_GB2312"/>
          <w:color w:val="000000"/>
          <w:kern w:val="0"/>
          <w:sz w:val="28"/>
          <w:szCs w:val="28"/>
        </w:rPr>
        <w:t>除特别指明外，均指日历天。合同中按天计算时间的，开始当天不计入，从次日开始计算，期限最后一天的截止时间为当天24:00时。</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1.1.5 合同价格和费用</w:t>
      </w:r>
    </w:p>
    <w:p>
      <w:pPr>
        <w:spacing w:beforeLines="0" w:afterLines="0" w:line="560" w:lineRule="exact"/>
        <w:ind w:firstLine="562"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kern w:val="0"/>
          <w:sz w:val="28"/>
          <w:szCs w:val="28"/>
        </w:rPr>
        <w:t>1.1.5.1 签约合同价：</w:t>
      </w:r>
      <w:r>
        <w:rPr>
          <w:rFonts w:hint="eastAsia" w:ascii="仿宋_GB2312" w:hAnsi="仿宋_GB2312" w:eastAsia="仿宋_GB2312" w:cs="仿宋_GB2312"/>
          <w:color w:val="000000"/>
          <w:kern w:val="0"/>
          <w:sz w:val="28"/>
          <w:szCs w:val="28"/>
        </w:rPr>
        <w:t>是指</w:t>
      </w:r>
      <w:r>
        <w:rPr>
          <w:rFonts w:hint="eastAsia" w:ascii="仿宋_GB2312" w:hAnsi="仿宋_GB2312" w:eastAsia="仿宋_GB2312" w:cs="仿宋_GB2312"/>
          <w:color w:val="000000"/>
          <w:sz w:val="28"/>
          <w:szCs w:val="28"/>
        </w:rPr>
        <w:t>发包人和承包人在合同协议书中确定的总金额，包括安全文明施工费、暂估价及暂列金额等。</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1.1.5.2 合同价格：</w:t>
      </w:r>
      <w:r>
        <w:rPr>
          <w:rFonts w:hint="eastAsia" w:ascii="仿宋_GB2312" w:hAnsi="仿宋_GB2312" w:eastAsia="仿宋_GB2312" w:cs="仿宋_GB2312"/>
          <w:color w:val="000000"/>
          <w:kern w:val="0"/>
          <w:sz w:val="28"/>
          <w:szCs w:val="28"/>
        </w:rPr>
        <w:t>是指发包人用于支付承包人按照合同约定完成承包范围内全部工作的金额，包括合同履行过程中按合同约定发生的价格变化。</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1.1.5.3 费用：</w:t>
      </w:r>
      <w:r>
        <w:rPr>
          <w:rFonts w:hint="eastAsia" w:ascii="仿宋_GB2312" w:hAnsi="仿宋_GB2312" w:eastAsia="仿宋_GB2312" w:cs="仿宋_GB2312"/>
          <w:color w:val="000000"/>
          <w:kern w:val="0"/>
          <w:sz w:val="28"/>
          <w:szCs w:val="28"/>
        </w:rPr>
        <w:t>是指为履行合同所发生的或将要发生的所有必需的开支，包括管理费和应分摊的其他费用，但不包括利润。</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1.1.5.4 暂估价：</w:t>
      </w:r>
      <w:r>
        <w:rPr>
          <w:rFonts w:hint="eastAsia" w:ascii="仿宋_GB2312" w:hAnsi="仿宋_GB2312" w:eastAsia="仿宋_GB2312" w:cs="仿宋_GB2312"/>
          <w:color w:val="000000"/>
          <w:kern w:val="0"/>
          <w:sz w:val="28"/>
          <w:szCs w:val="28"/>
        </w:rPr>
        <w:t>是指发包人在工程量清单或预算书中提供的用于支付必然发生但暂时不能确定价格的材料、工程设备的单价、专业工程以及服务工作的金额。</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1.1.5.5 暂列金额：</w:t>
      </w:r>
      <w:r>
        <w:rPr>
          <w:rFonts w:hint="eastAsia" w:ascii="仿宋_GB2312" w:hAnsi="仿宋_GB2312" w:eastAsia="仿宋_GB2312" w:cs="仿宋_GB2312"/>
          <w:color w:val="000000"/>
          <w:kern w:val="0"/>
          <w:sz w:val="28"/>
          <w:szCs w:val="28"/>
        </w:rPr>
        <w:t>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1.1.5.6 计日工：</w:t>
      </w:r>
      <w:r>
        <w:rPr>
          <w:rFonts w:hint="eastAsia" w:ascii="仿宋_GB2312" w:hAnsi="仿宋_GB2312" w:eastAsia="仿宋_GB2312" w:cs="仿宋_GB2312"/>
          <w:color w:val="000000"/>
          <w:kern w:val="0"/>
          <w:sz w:val="28"/>
          <w:szCs w:val="28"/>
        </w:rPr>
        <w:t>是指合同履行过程中，承包人完成发包人提出的零星工作或需要采用计日工计价的变更工作时，按合同中约定的单价计价的一种方式。</w:t>
      </w:r>
    </w:p>
    <w:p>
      <w:pPr>
        <w:spacing w:beforeLines="0" w:afterLines="0" w:line="560" w:lineRule="exact"/>
        <w:ind w:firstLine="562"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kern w:val="0"/>
          <w:sz w:val="28"/>
          <w:szCs w:val="28"/>
        </w:rPr>
        <w:t>1.1.5.7 质量保证金</w:t>
      </w:r>
      <w:bookmarkStart w:id="59" w:name="#go2"/>
      <w:bookmarkEnd w:id="59"/>
      <w:r>
        <w:rPr>
          <w:rFonts w:hint="eastAsia" w:ascii="仿宋_GB2312" w:hAnsi="仿宋_GB2312" w:eastAsia="仿宋_GB2312" w:cs="仿宋_GB2312"/>
          <w:b/>
          <w:bCs/>
          <w:color w:val="000000"/>
          <w:kern w:val="0"/>
          <w:sz w:val="28"/>
          <w:szCs w:val="28"/>
        </w:rPr>
        <w:t>：</w:t>
      </w:r>
      <w:r>
        <w:rPr>
          <w:rFonts w:hint="eastAsia" w:ascii="仿宋_GB2312" w:hAnsi="仿宋_GB2312" w:eastAsia="仿宋_GB2312" w:cs="仿宋_GB2312"/>
          <w:color w:val="000000"/>
          <w:kern w:val="0"/>
          <w:sz w:val="28"/>
          <w:szCs w:val="28"/>
        </w:rPr>
        <w:t>是指按照第15.3款〔质量保证金〕约定承包人用于保证其在缺陷责任期内履行缺陷修补义务的担保</w:t>
      </w:r>
      <w:r>
        <w:rPr>
          <w:rFonts w:hint="eastAsia" w:ascii="仿宋_GB2312" w:hAnsi="仿宋_GB2312" w:eastAsia="仿宋_GB2312" w:cs="仿宋_GB2312"/>
          <w:color w:val="000000"/>
          <w:sz w:val="28"/>
          <w:szCs w:val="28"/>
        </w:rPr>
        <w:t>。</w:t>
      </w:r>
    </w:p>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1.1.5.8 总价项目：</w:t>
      </w:r>
      <w:r>
        <w:rPr>
          <w:rFonts w:hint="eastAsia" w:ascii="仿宋_GB2312" w:hAnsi="仿宋_GB2312" w:eastAsia="仿宋_GB2312" w:cs="仿宋_GB2312"/>
          <w:color w:val="000000"/>
          <w:kern w:val="0"/>
          <w:sz w:val="28"/>
          <w:szCs w:val="28"/>
        </w:rPr>
        <w:t>是指在现行国家、行业以及地方的计量规则中无工程量计算规则，在已标价工程量清单或预算书中以总价或以费率形式计算的项目。</w:t>
      </w:r>
    </w:p>
    <w:p>
      <w:pPr>
        <w:spacing w:beforeLines="0" w:afterLines="0" w:line="560" w:lineRule="exact"/>
        <w:ind w:firstLine="562"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1.1.6 其他</w:t>
      </w:r>
    </w:p>
    <w:p>
      <w:pPr>
        <w:spacing w:beforeLines="0" w:afterLines="0" w:line="560" w:lineRule="exact"/>
        <w:ind w:firstLine="562"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1.1.6.1 书面形式：</w:t>
      </w:r>
      <w:r>
        <w:rPr>
          <w:rFonts w:hint="eastAsia" w:ascii="仿宋_GB2312" w:hAnsi="仿宋_GB2312" w:eastAsia="仿宋_GB2312" w:cs="仿宋_GB2312"/>
          <w:color w:val="000000"/>
          <w:sz w:val="28"/>
          <w:szCs w:val="28"/>
        </w:rPr>
        <w:t>是指合同文件、信函、电报、传真等可以有形地表现所载内容的形式。</w:t>
      </w:r>
    </w:p>
    <w:p>
      <w:pPr>
        <w:spacing w:line="560" w:lineRule="exact"/>
        <w:ind w:firstLine="0" w:firstLineChars="0"/>
        <w:jc w:val="left"/>
        <w:rPr>
          <w:rFonts w:hint="eastAsia" w:ascii="仿宋_GB2312" w:hAnsi="仿宋_GB2312" w:eastAsia="仿宋_GB2312" w:cs="仿宋_GB2312"/>
          <w:b w:val="0"/>
          <w:color w:val="000000"/>
          <w:sz w:val="28"/>
          <w:szCs w:val="28"/>
        </w:rPr>
      </w:pPr>
      <w:bookmarkStart w:id="60" w:name="_Toc351203497"/>
      <w:bookmarkStart w:id="61" w:name="_Toc296503029"/>
      <w:bookmarkStart w:id="62" w:name="_Toc296346530"/>
      <w:bookmarkStart w:id="63" w:name="_Toc337558729"/>
      <w:r>
        <w:rPr>
          <w:rFonts w:hint="eastAsia" w:ascii="仿宋_GB2312" w:hAnsi="仿宋_GB2312" w:eastAsia="仿宋_GB2312" w:cs="仿宋_GB2312"/>
          <w:b/>
          <w:bCs w:val="0"/>
          <w:color w:val="000000"/>
          <w:sz w:val="28"/>
          <w:szCs w:val="28"/>
        </w:rPr>
        <w:t>1.2语言文字</w:t>
      </w:r>
      <w:bookmarkEnd w:id="60"/>
      <w:bookmarkEnd w:id="61"/>
      <w:bookmarkEnd w:id="62"/>
      <w:bookmarkEnd w:id="63"/>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合同以中国的汉语简体文字编写、解释和说明。合同当事人在专用合同条款中约定使用两种以上语言时，汉语为优先解释和说明合同的语言。</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64" w:name="_Toc351203498"/>
      <w:bookmarkStart w:id="65" w:name="_Toc296346531"/>
      <w:bookmarkStart w:id="66" w:name="_Toc337558730"/>
      <w:bookmarkStart w:id="67" w:name="_Toc296503030"/>
      <w:r>
        <w:rPr>
          <w:rFonts w:hint="eastAsia" w:ascii="仿宋_GB2312" w:hAnsi="仿宋_GB2312" w:eastAsia="仿宋_GB2312" w:cs="仿宋_GB2312"/>
          <w:b/>
          <w:bCs w:val="0"/>
          <w:color w:val="000000"/>
          <w:sz w:val="28"/>
          <w:szCs w:val="28"/>
        </w:rPr>
        <w:t>1.3法律</w:t>
      </w:r>
      <w:bookmarkEnd w:id="64"/>
      <w:bookmarkEnd w:id="65"/>
      <w:bookmarkEnd w:id="66"/>
      <w:bookmarkEnd w:id="67"/>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合同所称法律是指中华人民共和国法律、行政法规、部门规章，以及工程所在地的地方性法规、自治条例、单行条例和地方政府规章等。</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合同当事人可以在专用合同条款中约定合同适用的其他规范性文件。</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68" w:name="_Toc351203499"/>
      <w:r>
        <w:rPr>
          <w:rFonts w:hint="eastAsia" w:ascii="仿宋_GB2312" w:hAnsi="仿宋_GB2312" w:eastAsia="仿宋_GB2312" w:cs="仿宋_GB2312"/>
          <w:b/>
          <w:bCs w:val="0"/>
          <w:color w:val="000000"/>
          <w:sz w:val="28"/>
          <w:szCs w:val="28"/>
        </w:rPr>
        <w:t>1.4 标准和规范</w:t>
      </w:r>
      <w:bookmarkEnd w:id="68"/>
    </w:p>
    <w:p>
      <w:pPr>
        <w:autoSpaceDE w:val="0"/>
        <w:autoSpaceDN w:val="0"/>
        <w:adjustRightInd w:val="0"/>
        <w:spacing w:beforeLines="0" w:afterLines="0" w:line="560" w:lineRule="exact"/>
        <w:ind w:firstLine="64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1.4.1 适用于工程的国家标准、行业标准、工程所在地的地方性标准，以及相应的规范、规程等，合同当事人有特别要求的，应在专用合同条款中约定。</w:t>
      </w:r>
    </w:p>
    <w:p>
      <w:pPr>
        <w:autoSpaceDE w:val="0"/>
        <w:autoSpaceDN w:val="0"/>
        <w:adjustRightInd w:val="0"/>
        <w:spacing w:beforeLines="0" w:afterLines="0" w:line="560" w:lineRule="exact"/>
        <w:ind w:firstLine="64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1.4.2 发包人要求使用国外标准、规范的，发包人负责提供原文版本和中文译本，并在专用合同条款中约定提供标准规范的名称、份数和时间。</w:t>
      </w:r>
    </w:p>
    <w:p>
      <w:pPr>
        <w:autoSpaceDE w:val="0"/>
        <w:autoSpaceDN w:val="0"/>
        <w:adjustRightInd w:val="0"/>
        <w:spacing w:beforeLines="0" w:afterLines="0" w:line="560" w:lineRule="exact"/>
        <w:ind w:firstLine="64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69" w:name="_Toc351203500"/>
      <w:r>
        <w:rPr>
          <w:rFonts w:hint="eastAsia" w:ascii="仿宋_GB2312" w:hAnsi="仿宋_GB2312" w:eastAsia="仿宋_GB2312" w:cs="仿宋_GB2312"/>
          <w:b/>
          <w:bCs w:val="0"/>
          <w:color w:val="000000"/>
          <w:sz w:val="28"/>
          <w:szCs w:val="28"/>
        </w:rPr>
        <w:t>1</w:t>
      </w:r>
      <w:bookmarkStart w:id="70" w:name="_Toc296503031"/>
      <w:bookmarkStart w:id="71" w:name="_Toc337558731"/>
      <w:bookmarkStart w:id="72" w:name="_Toc296346532"/>
      <w:r>
        <w:rPr>
          <w:rFonts w:hint="eastAsia" w:ascii="仿宋_GB2312" w:hAnsi="仿宋_GB2312" w:eastAsia="仿宋_GB2312" w:cs="仿宋_GB2312"/>
          <w:b/>
          <w:bCs w:val="0"/>
          <w:color w:val="000000"/>
          <w:sz w:val="28"/>
          <w:szCs w:val="28"/>
        </w:rPr>
        <w:t>.5 合同文件的优先顺序</w:t>
      </w:r>
      <w:bookmarkEnd w:id="69"/>
    </w:p>
    <w:bookmarkEnd w:id="70"/>
    <w:bookmarkEnd w:id="71"/>
    <w:bookmarkEnd w:id="72"/>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组成合同的各项文件应互相解释，互为说明。除专用合同条款另有约定外，解释合同文件的优先顺序如下：</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（1）合同协议书；</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（2）中标通知书（如果有）；</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（3）投标函及其附录（如果有）；</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（4）专用合同条款</w:t>
      </w:r>
      <w:r>
        <w:rPr>
          <w:rFonts w:hint="eastAsia" w:ascii="仿宋_GB2312" w:hAnsi="仿宋_GB2312" w:eastAsia="仿宋_GB2312" w:cs="仿宋_GB2312"/>
          <w:color w:val="000000"/>
          <w:sz w:val="28"/>
          <w:szCs w:val="28"/>
        </w:rPr>
        <w:t>及其附件</w:t>
      </w:r>
      <w:r>
        <w:rPr>
          <w:rFonts w:hint="eastAsia" w:ascii="仿宋_GB2312" w:hAnsi="仿宋_GB2312" w:eastAsia="仿宋_GB2312" w:cs="仿宋_GB2312"/>
          <w:color w:val="000000"/>
          <w:kern w:val="0"/>
          <w:sz w:val="28"/>
          <w:szCs w:val="28"/>
        </w:rPr>
        <w:t>；</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（5）通用合同条款；</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（6）技术标准和要求；</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（7）图纸；</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（8）已标价工程量清单或预算书；</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（9）其他合同文件。</w:t>
      </w:r>
    </w:p>
    <w:p>
      <w:pPr>
        <w:spacing w:beforeLines="0" w:afterLines="0" w:line="560" w:lineRule="exact"/>
        <w:ind w:firstLine="596" w:firstLineChars="213"/>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上述各项合同文件包括合同当事人就该项合同文件所作出的补充和修改，属于同一类内容的文件，应以最新签署的为准。</w:t>
      </w:r>
    </w:p>
    <w:p>
      <w:pPr>
        <w:spacing w:beforeLines="0" w:afterLines="0" w:line="560" w:lineRule="exact"/>
        <w:ind w:firstLine="596" w:firstLineChars="213"/>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在合同订立及履行过程中形成的与合同有关的文件均构成合同文件组成部分，并根据其性质确定优先解释顺序。</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73" w:name="_Toc351203501"/>
      <w:r>
        <w:rPr>
          <w:rFonts w:hint="eastAsia" w:ascii="仿宋_GB2312" w:hAnsi="仿宋_GB2312" w:eastAsia="仿宋_GB2312" w:cs="仿宋_GB2312"/>
          <w:b/>
          <w:bCs w:val="0"/>
          <w:color w:val="000000"/>
          <w:sz w:val="28"/>
          <w:szCs w:val="28"/>
        </w:rPr>
        <w:t>1</w:t>
      </w:r>
      <w:bookmarkStart w:id="74" w:name="_Toc296346533"/>
      <w:bookmarkStart w:id="75" w:name="_Toc296503032"/>
      <w:bookmarkStart w:id="76" w:name="_Toc337558732"/>
      <w:r>
        <w:rPr>
          <w:rFonts w:hint="eastAsia" w:ascii="仿宋_GB2312" w:hAnsi="仿宋_GB2312" w:eastAsia="仿宋_GB2312" w:cs="仿宋_GB2312"/>
          <w:b/>
          <w:bCs w:val="0"/>
          <w:color w:val="000000"/>
          <w:sz w:val="28"/>
          <w:szCs w:val="28"/>
        </w:rPr>
        <w:t>.6图纸和承包人文件</w:t>
      </w:r>
      <w:bookmarkEnd w:id="73"/>
    </w:p>
    <w:bookmarkEnd w:id="74"/>
    <w:bookmarkEnd w:id="75"/>
    <w:bookmarkEnd w:id="76"/>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1.6.1 图纸的提供和交底</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因发包人未按合同约定提供图纸导致承包人费用增加和（或）工期延误的，按照第7.5.1项〔因发包人原因导致工期延误〕约定办理。</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1.6.2 图纸的错误</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1.6.3 图纸的修改和补充</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图纸需要修改和补充的，应经图纸原设计人及审批部门同意，并由监理人在工程或工程相应部位施工前将修改后的图纸或补充图纸提交给承包人，承包人应按修改或补充后的图纸施工。</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1.6.4 承包人文件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承包人应按照专用合同条款的约定提供应当由其编制的与工程施工有关的文件，并按照专用合同条款约定的期限、数量和形式提交监理人，并由监理人报送发包人。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1.6.5 图纸和承包人文件的保管</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除专用合同条款另有约定外，承包人应在施工现场另外保存一套完整的图纸和承包人文件，供发包人、监理人及有关人员进行工程检查时使用。</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77" w:name="_Toc351203502"/>
      <w:r>
        <w:rPr>
          <w:rFonts w:hint="eastAsia" w:ascii="仿宋_GB2312" w:hAnsi="仿宋_GB2312" w:eastAsia="仿宋_GB2312" w:cs="仿宋_GB2312"/>
          <w:b/>
          <w:bCs w:val="0"/>
          <w:color w:val="000000"/>
          <w:sz w:val="28"/>
          <w:szCs w:val="28"/>
        </w:rPr>
        <w:t>1</w:t>
      </w:r>
      <w:bookmarkStart w:id="78" w:name="_Toc296346534"/>
      <w:bookmarkStart w:id="79" w:name="_Toc337558733"/>
      <w:bookmarkStart w:id="80" w:name="_Toc296503033"/>
      <w:r>
        <w:rPr>
          <w:rFonts w:hint="eastAsia" w:ascii="仿宋_GB2312" w:hAnsi="仿宋_GB2312" w:eastAsia="仿宋_GB2312" w:cs="仿宋_GB2312"/>
          <w:b/>
          <w:bCs w:val="0"/>
          <w:color w:val="000000"/>
          <w:sz w:val="28"/>
          <w:szCs w:val="28"/>
        </w:rPr>
        <w:t>.7联络</w:t>
      </w:r>
      <w:bookmarkEnd w:id="77"/>
    </w:p>
    <w:bookmarkEnd w:id="78"/>
    <w:bookmarkEnd w:id="79"/>
    <w:bookmarkEnd w:id="80"/>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val="0"/>
          <w:bCs/>
          <w:color w:val="000000"/>
          <w:kern w:val="0"/>
          <w:sz w:val="28"/>
          <w:szCs w:val="28"/>
        </w:rPr>
        <w:t>1.7.1 与合同有关的通知、批准、证明、证书、指示、指令、</w:t>
      </w:r>
      <w:r>
        <w:rPr>
          <w:rFonts w:hint="eastAsia" w:ascii="仿宋_GB2312" w:hAnsi="仿宋_GB2312" w:eastAsia="仿宋_GB2312" w:cs="仿宋_GB2312"/>
          <w:color w:val="000000"/>
          <w:kern w:val="0"/>
          <w:sz w:val="28"/>
          <w:szCs w:val="28"/>
        </w:rPr>
        <w:t>要求、请求、同意、意见、确定和决定等，均应采用书面形式，并应在合同约定的期限内送达接收人和送达地点。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1.7.2 发包人和承包人应在专用合同条款中约定各自的送达接收人和送达地点。任何一方合同当事人指定的接收人或送达地点发生变动的，应提前3天以书面形式通知对方。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FF0000"/>
          <w:kern w:val="0"/>
          <w:sz w:val="28"/>
          <w:szCs w:val="28"/>
        </w:rPr>
      </w:pPr>
      <w:r>
        <w:rPr>
          <w:rFonts w:hint="eastAsia" w:ascii="仿宋_GB2312" w:hAnsi="仿宋_GB2312" w:eastAsia="仿宋_GB2312" w:cs="仿宋_GB2312"/>
          <w:color w:val="000000"/>
          <w:kern w:val="0"/>
          <w:sz w:val="28"/>
          <w:szCs w:val="28"/>
        </w:rPr>
        <w:t>1.7.3 发包人和承包人应当及时签收另一方送达至送达地点和指定接收人的来往信函。拒不签收的，由此增加的费用和（或）延误的工期由拒绝接收一方承担。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81" w:name="_Toc351203503"/>
      <w:r>
        <w:rPr>
          <w:rFonts w:hint="eastAsia" w:ascii="仿宋_GB2312" w:hAnsi="仿宋_GB2312" w:eastAsia="仿宋_GB2312" w:cs="仿宋_GB2312"/>
          <w:b/>
          <w:bCs w:val="0"/>
          <w:color w:val="000000"/>
          <w:sz w:val="28"/>
          <w:szCs w:val="28"/>
        </w:rPr>
        <w:t>1</w:t>
      </w:r>
      <w:bookmarkStart w:id="82" w:name="_Toc337558734"/>
      <w:bookmarkStart w:id="83" w:name="_Toc296503035"/>
      <w:bookmarkStart w:id="84" w:name="_Toc296346536"/>
      <w:r>
        <w:rPr>
          <w:rFonts w:hint="eastAsia" w:ascii="仿宋_GB2312" w:hAnsi="仿宋_GB2312" w:eastAsia="仿宋_GB2312" w:cs="仿宋_GB2312"/>
          <w:b/>
          <w:bCs w:val="0"/>
          <w:color w:val="000000"/>
          <w:sz w:val="28"/>
          <w:szCs w:val="28"/>
        </w:rPr>
        <w:t>.8严禁贿赂</w:t>
      </w:r>
      <w:bookmarkEnd w:id="81"/>
    </w:p>
    <w:bookmarkEnd w:id="82"/>
    <w:bookmarkEnd w:id="83"/>
    <w:bookmarkEnd w:id="84"/>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合同当事人不得以贿赂或变相贿赂的方式，谋取非法利益或损害对方权益。因一方合同当事人的贿赂造成对方损失的，应赔偿损失，并承担相应的法律责任。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承包人不得与监理人或发包人聘请的第三方串通损害发包人利益。未经发包人书面同意，承包人不得为监理人提供合同约定以外的通讯设备、交通工具及其他任何形式的利益，不得向监理人支付报酬。</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85" w:name="_Toc351203504"/>
      <w:r>
        <w:rPr>
          <w:rFonts w:hint="eastAsia" w:ascii="仿宋_GB2312" w:hAnsi="仿宋_GB2312" w:eastAsia="仿宋_GB2312" w:cs="仿宋_GB2312"/>
          <w:b/>
          <w:bCs w:val="0"/>
          <w:color w:val="000000"/>
          <w:sz w:val="28"/>
          <w:szCs w:val="28"/>
        </w:rPr>
        <w:t>1</w:t>
      </w:r>
      <w:bookmarkStart w:id="86" w:name="_Toc337558735"/>
      <w:bookmarkStart w:id="87" w:name="_Toc296346537"/>
      <w:bookmarkStart w:id="88" w:name="_Toc296503036"/>
      <w:r>
        <w:rPr>
          <w:rFonts w:hint="eastAsia" w:ascii="仿宋_GB2312" w:hAnsi="仿宋_GB2312" w:eastAsia="仿宋_GB2312" w:cs="仿宋_GB2312"/>
          <w:b/>
          <w:bCs w:val="0"/>
          <w:color w:val="000000"/>
          <w:sz w:val="28"/>
          <w:szCs w:val="28"/>
        </w:rPr>
        <w:t>.9化石、文物</w:t>
      </w:r>
      <w:bookmarkEnd w:id="85"/>
    </w:p>
    <w:bookmarkEnd w:id="86"/>
    <w:bookmarkEnd w:id="87"/>
    <w:bookmarkEnd w:id="88"/>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发包人、监理人和承包人应按有关政府行政管理部门要求采取妥善的保护措施，由此增加的费用和（或）延误的工期由发包人承担。</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承包人发现文物后不及时报告或隐瞒不报，致使文物丢失或损坏的，应赔偿损失，并承担相应的法律责任。</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89" w:name="_Toc351203505"/>
      <w:r>
        <w:rPr>
          <w:rFonts w:hint="eastAsia" w:ascii="仿宋_GB2312" w:hAnsi="仿宋_GB2312" w:eastAsia="仿宋_GB2312" w:cs="仿宋_GB2312"/>
          <w:b/>
          <w:bCs w:val="0"/>
          <w:color w:val="000000"/>
          <w:sz w:val="28"/>
          <w:szCs w:val="28"/>
        </w:rPr>
        <w:t>1</w:t>
      </w:r>
      <w:bookmarkStart w:id="90" w:name="_Toc337558736"/>
      <w:r>
        <w:rPr>
          <w:rFonts w:hint="eastAsia" w:ascii="仿宋_GB2312" w:hAnsi="仿宋_GB2312" w:eastAsia="仿宋_GB2312" w:cs="仿宋_GB2312"/>
          <w:b/>
          <w:bCs w:val="0"/>
          <w:color w:val="000000"/>
          <w:sz w:val="28"/>
          <w:szCs w:val="28"/>
        </w:rPr>
        <w:t>.10交通运输</w:t>
      </w:r>
      <w:bookmarkEnd w:id="89"/>
    </w:p>
    <w:bookmarkEnd w:id="90"/>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1.10.1 出入现场的权利</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承包人应在订立合同前查勘施工现场，并根据工程规模及技术参数合理预见工程施工所需的进出施工现场的方式、手段、路径等。因承包人未合理预见所增加的费用和（或）延误的工期由承包人承担。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1.10.2 场外交通</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1.10.3场内交通</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场外交通和场内交通的边界由合同当事人在专用合同条款中约定。</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1.10.4 超大件和超重件的运输</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1.10.5 道路和桥梁的损坏责任</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因承包人运输造成施工场地内外公共道路和桥梁损坏的，由承包人承担修复损坏的全部费用和可能引起的赔偿。</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1.10.6 水路和航空运输</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本款前述各项的内容适用于水路运输和航空运输，其中“道路”一词的涵义包括河道、航线、船闸、机场、码头、堤防以及水路或航空运输中其他相似结构物；“车辆”一词的涵义包括船舶和飞机等。</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91" w:name="_Toc351203506"/>
      <w:r>
        <w:rPr>
          <w:rFonts w:hint="eastAsia" w:ascii="仿宋_GB2312" w:hAnsi="仿宋_GB2312" w:eastAsia="仿宋_GB2312" w:cs="仿宋_GB2312"/>
          <w:b/>
          <w:bCs w:val="0"/>
          <w:color w:val="000000"/>
          <w:sz w:val="28"/>
          <w:szCs w:val="28"/>
        </w:rPr>
        <w:t>1</w:t>
      </w:r>
      <w:bookmarkStart w:id="92" w:name="_Toc337558737"/>
      <w:bookmarkStart w:id="93" w:name="_Toc296503037"/>
      <w:bookmarkStart w:id="94" w:name="_Toc296346538"/>
      <w:r>
        <w:rPr>
          <w:rFonts w:hint="eastAsia" w:ascii="仿宋_GB2312" w:hAnsi="仿宋_GB2312" w:eastAsia="仿宋_GB2312" w:cs="仿宋_GB2312"/>
          <w:b/>
          <w:bCs w:val="0"/>
          <w:color w:val="000000"/>
          <w:sz w:val="28"/>
          <w:szCs w:val="28"/>
        </w:rPr>
        <w:t>.11知识产权</w:t>
      </w:r>
      <w:bookmarkEnd w:id="91"/>
      <w:r>
        <w:rPr>
          <w:rFonts w:hint="eastAsia" w:ascii="仿宋_GB2312" w:hAnsi="仿宋_GB2312" w:eastAsia="仿宋_GB2312" w:cs="仿宋_GB2312"/>
          <w:b/>
          <w:bCs w:val="0"/>
          <w:color w:val="000000"/>
          <w:sz w:val="28"/>
          <w:szCs w:val="28"/>
        </w:rPr>
        <w:t xml:space="preserve"> </w:t>
      </w:r>
      <w:bookmarkEnd w:id="92"/>
    </w:p>
    <w:bookmarkEnd w:id="93"/>
    <w:bookmarkEnd w:id="94"/>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pPr>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sz w:val="28"/>
          <w:szCs w:val="28"/>
        </w:rPr>
        <w:t>1.11.4 除专用合同条款另有约定外，承包人在合同签订前和签订时已确定采用的专利、专有技术、技术秘密的使用费已包含在签约合同价中。</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95" w:name="_Toc351203507"/>
      <w:r>
        <w:rPr>
          <w:rFonts w:hint="eastAsia" w:ascii="仿宋_GB2312" w:hAnsi="仿宋_GB2312" w:eastAsia="仿宋_GB2312" w:cs="仿宋_GB2312"/>
          <w:b/>
          <w:bCs w:val="0"/>
          <w:color w:val="000000"/>
          <w:sz w:val="28"/>
          <w:szCs w:val="28"/>
        </w:rPr>
        <w:t>1</w:t>
      </w:r>
      <w:bookmarkStart w:id="96" w:name="_Toc337558738"/>
      <w:r>
        <w:rPr>
          <w:rFonts w:hint="eastAsia" w:ascii="仿宋_GB2312" w:hAnsi="仿宋_GB2312" w:eastAsia="仿宋_GB2312" w:cs="仿宋_GB2312"/>
          <w:b/>
          <w:bCs w:val="0"/>
          <w:color w:val="000000"/>
          <w:sz w:val="28"/>
          <w:szCs w:val="28"/>
        </w:rPr>
        <w:t>.12保密</w:t>
      </w:r>
      <w:bookmarkEnd w:id="95"/>
    </w:p>
    <w:bookmarkEnd w:id="96"/>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除法律规定或合同另有约定外，未经发包人同意，承包人不得将发包人提供的图纸、文件以及声明需要保密的资料信息等商业秘密泄露给第三方。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除法律规定或合同另有约定外，未经承包人同意，发包人不得将承包人提供的技术秘密及声明需要保密的资料信息等商业秘密泄露给第三方。</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97" w:name="_Toc351203508"/>
      <w:r>
        <w:rPr>
          <w:rFonts w:hint="eastAsia" w:ascii="仿宋_GB2312" w:hAnsi="仿宋_GB2312" w:eastAsia="仿宋_GB2312" w:cs="仿宋_GB2312"/>
          <w:b/>
          <w:bCs w:val="0"/>
          <w:color w:val="000000"/>
          <w:sz w:val="28"/>
          <w:szCs w:val="28"/>
        </w:rPr>
        <w:t>1.13工程量清单错误的修正</w:t>
      </w:r>
      <w:bookmarkEnd w:id="97"/>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除专用合同条款另有约定外，发包人提供的工程量清单，应被认为是准确的和完整的。出现下列情形之一时，发包人应予以修正，并相应调整合同价格：</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（1）工程量清单存在缺项、漏项的；</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（2）工程量清单偏差超出专用合同条款约定的工程量偏差范围的；</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（3）未按照国家现行计量规范强制性规定计量的。</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98" w:name="_Toc351203509"/>
      <w:r>
        <w:rPr>
          <w:rFonts w:hint="eastAsia" w:ascii="仿宋_GB2312" w:hAnsi="仿宋_GB2312" w:eastAsia="仿宋_GB2312" w:cs="仿宋_GB2312"/>
          <w:b/>
          <w:bCs w:val="0"/>
          <w:color w:val="000000"/>
          <w:sz w:val="28"/>
          <w:szCs w:val="28"/>
        </w:rPr>
        <w:t>2</w:t>
      </w:r>
      <w:bookmarkStart w:id="99" w:name="_Toc296346539"/>
      <w:bookmarkStart w:id="100" w:name="_Toc296503038"/>
      <w:bookmarkStart w:id="101" w:name="_Toc337558739"/>
      <w:bookmarkStart w:id="102" w:name="OLE_LINK1"/>
      <w:bookmarkStart w:id="103" w:name="OLE_LINK2"/>
      <w:r>
        <w:rPr>
          <w:rFonts w:hint="eastAsia" w:ascii="仿宋_GB2312" w:hAnsi="仿宋_GB2312" w:eastAsia="仿宋_GB2312" w:cs="仿宋_GB2312"/>
          <w:b/>
          <w:bCs w:val="0"/>
          <w:color w:val="000000"/>
          <w:sz w:val="28"/>
          <w:szCs w:val="28"/>
        </w:rPr>
        <w:t>. 发包人</w:t>
      </w:r>
      <w:bookmarkEnd w:id="98"/>
    </w:p>
    <w:bookmarkEnd w:id="99"/>
    <w:bookmarkEnd w:id="100"/>
    <w:bookmarkEnd w:id="101"/>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04" w:name="_Toc351203510"/>
      <w:r>
        <w:rPr>
          <w:rFonts w:hint="eastAsia" w:ascii="仿宋_GB2312" w:hAnsi="仿宋_GB2312" w:eastAsia="仿宋_GB2312" w:cs="仿宋_GB2312"/>
          <w:b/>
          <w:bCs w:val="0"/>
          <w:color w:val="000000"/>
          <w:sz w:val="28"/>
          <w:szCs w:val="28"/>
        </w:rPr>
        <w:t>2</w:t>
      </w:r>
      <w:bookmarkStart w:id="105" w:name="_Toc337558740"/>
      <w:bookmarkStart w:id="106" w:name="_Toc296346540"/>
      <w:bookmarkStart w:id="107" w:name="_Toc296503039"/>
      <w:r>
        <w:rPr>
          <w:rFonts w:hint="eastAsia" w:ascii="仿宋_GB2312" w:hAnsi="仿宋_GB2312" w:eastAsia="仿宋_GB2312" w:cs="仿宋_GB2312"/>
          <w:b/>
          <w:bCs w:val="0"/>
          <w:color w:val="000000"/>
          <w:sz w:val="28"/>
          <w:szCs w:val="28"/>
        </w:rPr>
        <w:t>.1 许可或批准</w:t>
      </w:r>
      <w:bookmarkEnd w:id="104"/>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因发包人原因未能及时办理完毕前述许可、批准或备案，由发包人承担由此增加的费用和（或）延误的工期，并支付承包人合理的利润。</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08" w:name="_Toc351203511"/>
      <w:r>
        <w:rPr>
          <w:rFonts w:hint="eastAsia" w:ascii="仿宋_GB2312" w:hAnsi="仿宋_GB2312" w:eastAsia="仿宋_GB2312" w:cs="仿宋_GB2312"/>
          <w:b/>
          <w:bCs w:val="0"/>
          <w:color w:val="000000"/>
          <w:sz w:val="28"/>
          <w:szCs w:val="28"/>
        </w:rPr>
        <w:t>2.2 发包人代表</w:t>
      </w:r>
      <w:bookmarkEnd w:id="108"/>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发包人代表不能按照合同约定履行其职责及义务，并导致合同无法继续正常履行的，承包人可以要求发包人撤换发包人代表。</w:t>
      </w:r>
    </w:p>
    <w:p>
      <w:pPr>
        <w:spacing w:beforeLines="0"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不属于法定必须监理的工程，监理人的职权可以由发包人代表或发包人指定的其他人员行使。</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09" w:name="_Toc351203512"/>
      <w:r>
        <w:rPr>
          <w:rFonts w:hint="eastAsia" w:ascii="仿宋_GB2312" w:hAnsi="仿宋_GB2312" w:eastAsia="仿宋_GB2312" w:cs="仿宋_GB2312"/>
          <w:b/>
          <w:bCs w:val="0"/>
          <w:color w:val="000000"/>
          <w:sz w:val="28"/>
          <w:szCs w:val="28"/>
        </w:rPr>
        <w:t>2.3 发包人员</w:t>
      </w:r>
      <w:bookmarkEnd w:id="109"/>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发包人应要求在施工现场的发包人员遵守法律及有关安全、质量、环境保护、文明施工等规定，并保障承包人免于承受因发包人员未遵守上述要求给承包人造成的损失和责任。</w:t>
      </w:r>
    </w:p>
    <w:p>
      <w:pPr>
        <w:spacing w:beforeLines="0" w:afterLines="0" w:line="560" w:lineRule="exact"/>
        <w:ind w:firstLine="64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发包人员包括发包人代表及其他由发包人派驻施工现场的人员。</w:t>
      </w:r>
      <w:bookmarkEnd w:id="105"/>
      <w:bookmarkEnd w:id="106"/>
      <w:bookmarkEnd w:id="107"/>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10" w:name="_Toc351203513"/>
      <w:r>
        <w:rPr>
          <w:rFonts w:hint="eastAsia" w:ascii="仿宋_GB2312" w:hAnsi="仿宋_GB2312" w:eastAsia="仿宋_GB2312" w:cs="仿宋_GB2312"/>
          <w:b/>
          <w:bCs w:val="0"/>
          <w:color w:val="000000"/>
          <w:sz w:val="28"/>
          <w:szCs w:val="28"/>
        </w:rPr>
        <w:t>2</w:t>
      </w:r>
      <w:bookmarkStart w:id="111" w:name="_Toc296503040"/>
      <w:bookmarkStart w:id="112" w:name="_Toc296346541"/>
      <w:bookmarkStart w:id="113" w:name="_Toc337558741"/>
      <w:r>
        <w:rPr>
          <w:rFonts w:hint="eastAsia" w:ascii="仿宋_GB2312" w:hAnsi="仿宋_GB2312" w:eastAsia="仿宋_GB2312" w:cs="仿宋_GB2312"/>
          <w:b/>
          <w:bCs w:val="0"/>
          <w:color w:val="000000"/>
          <w:sz w:val="28"/>
          <w:szCs w:val="28"/>
        </w:rPr>
        <w:t>.4 施工现场、施工条件和基础资料的提供</w:t>
      </w:r>
      <w:bookmarkEnd w:id="110"/>
      <w:r>
        <w:rPr>
          <w:rFonts w:hint="eastAsia" w:ascii="仿宋_GB2312" w:hAnsi="仿宋_GB2312" w:eastAsia="仿宋_GB2312" w:cs="仿宋_GB2312"/>
          <w:b/>
          <w:bCs w:val="0"/>
          <w:color w:val="000000"/>
          <w:sz w:val="28"/>
          <w:szCs w:val="28"/>
        </w:rPr>
        <w:t xml:space="preserve"> </w:t>
      </w:r>
      <w:bookmarkEnd w:id="111"/>
      <w:bookmarkEnd w:id="112"/>
      <w:bookmarkEnd w:id="113"/>
      <w:r>
        <w:rPr>
          <w:rFonts w:hint="eastAsia" w:ascii="仿宋_GB2312" w:hAnsi="仿宋_GB2312" w:eastAsia="仿宋_GB2312" w:cs="仿宋_GB2312"/>
          <w:b/>
          <w:bCs w:val="0"/>
          <w:color w:val="000000"/>
          <w:sz w:val="28"/>
          <w:szCs w:val="28"/>
        </w:rPr>
        <w:t xml:space="preserve"> </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2.4.1 提供施工现场</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w:t>
      </w:r>
      <w:bookmarkEnd w:id="102"/>
      <w:bookmarkEnd w:id="103"/>
      <w:r>
        <w:rPr>
          <w:rFonts w:hint="eastAsia" w:ascii="仿宋_GB2312" w:hAnsi="仿宋_GB2312" w:eastAsia="仿宋_GB2312" w:cs="仿宋_GB2312"/>
          <w:color w:val="000000"/>
          <w:kern w:val="0"/>
          <w:sz w:val="28"/>
          <w:szCs w:val="28"/>
        </w:rPr>
        <w:t>专用合同条款另有约定外，发包人应最迟于开工日期7天前向承包人移交施工现场。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2.4.2 提供施工条件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除专用合同条款另有约定外，发包人应负责提供施工所需要的条件，包括：</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（1）将施工用水、电力、通讯线路等施工所必需的条件接至施工现场内；</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（2）保证向承包人提供正常施工所需要的进入施工现场的交通条件；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（3）协调处理施工现场周围地下管线和邻近建筑物、构筑物、古树名木的保护工作，并承担相关费用；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（4）按照专用合同条款约定应提供的其他设施和条件。</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rPr>
        <w:t>2.4.3 提供基础资料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按照法律规定确需在开工后方能提供的基础资料，发包人应尽其努力及时地在相应工程施工前的合理期限内提供，合理期限应以不影响承包人的正常施工为限。</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2.4.4 逾期提供的责任</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因发包人原因未能按合同约定及时向承包人提供施工现场、施工条件、基础资料的，由发包人承担由此增加的费用和（或）延误的工期。</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14" w:name="_Toc351203514"/>
      <w:r>
        <w:rPr>
          <w:rFonts w:hint="eastAsia" w:ascii="仿宋_GB2312" w:hAnsi="仿宋_GB2312" w:eastAsia="仿宋_GB2312" w:cs="仿宋_GB2312"/>
          <w:b/>
          <w:bCs w:val="0"/>
          <w:color w:val="000000"/>
          <w:sz w:val="28"/>
          <w:szCs w:val="28"/>
        </w:rPr>
        <w:t>2</w:t>
      </w:r>
      <w:bookmarkStart w:id="115" w:name="_Toc337558745"/>
      <w:bookmarkStart w:id="116" w:name="_Toc296346543"/>
      <w:bookmarkStart w:id="117" w:name="_Toc296503042"/>
      <w:r>
        <w:rPr>
          <w:rFonts w:hint="eastAsia" w:ascii="仿宋_GB2312" w:hAnsi="仿宋_GB2312" w:eastAsia="仿宋_GB2312" w:cs="仿宋_GB2312"/>
          <w:b/>
          <w:bCs w:val="0"/>
          <w:color w:val="000000"/>
          <w:sz w:val="28"/>
          <w:szCs w:val="28"/>
        </w:rPr>
        <w:t>.5 资</w:t>
      </w:r>
      <w:bookmarkEnd w:id="115"/>
      <w:bookmarkEnd w:id="116"/>
      <w:bookmarkEnd w:id="117"/>
      <w:r>
        <w:rPr>
          <w:rFonts w:hint="eastAsia" w:ascii="仿宋_GB2312" w:hAnsi="仿宋_GB2312" w:eastAsia="仿宋_GB2312" w:cs="仿宋_GB2312"/>
          <w:b/>
          <w:bCs w:val="0"/>
          <w:color w:val="000000"/>
          <w:sz w:val="28"/>
          <w:szCs w:val="28"/>
        </w:rPr>
        <w:t>金来源证明及支付担保</w:t>
      </w:r>
      <w:bookmarkEnd w:id="114"/>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除专用合同条款另有约定外，发包人应在收到承包人要求提供资金来源证明的书面通知后28天内，向承包人提供能够按照合同约定支付合同价款的相应资金来源证明。</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除专用合同条款另有约定外，发包人要求承包人提供履约担保的，发包人应当向承包人提供支付担保。支付担保可以采用银行保函或担保公司担保等形式，具体由合同当事人在专用合同条款中约定。</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18" w:name="_Toc351203515"/>
      <w:r>
        <w:rPr>
          <w:rFonts w:hint="eastAsia" w:ascii="仿宋_GB2312" w:hAnsi="仿宋_GB2312" w:eastAsia="仿宋_GB2312" w:cs="仿宋_GB2312"/>
          <w:b/>
          <w:bCs w:val="0"/>
          <w:color w:val="000000"/>
          <w:sz w:val="28"/>
          <w:szCs w:val="28"/>
        </w:rPr>
        <w:t>2.6 支付合同价款</w:t>
      </w:r>
      <w:bookmarkEnd w:id="118"/>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发包人应按合同约定向承包人及时支付合同价款。</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19" w:name="_Toc351203516"/>
      <w:r>
        <w:rPr>
          <w:rFonts w:hint="eastAsia" w:ascii="仿宋_GB2312" w:hAnsi="仿宋_GB2312" w:eastAsia="仿宋_GB2312" w:cs="仿宋_GB2312"/>
          <w:b/>
          <w:bCs w:val="0"/>
          <w:color w:val="000000"/>
          <w:sz w:val="28"/>
          <w:szCs w:val="28"/>
        </w:rPr>
        <w:t>2.7 组织竣工验收</w:t>
      </w:r>
      <w:bookmarkEnd w:id="119"/>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发包人应按合同约定及时组织竣工验收。</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20" w:name="_Toc351203517"/>
      <w:r>
        <w:rPr>
          <w:rFonts w:hint="eastAsia" w:ascii="仿宋_GB2312" w:hAnsi="仿宋_GB2312" w:eastAsia="仿宋_GB2312" w:cs="仿宋_GB2312"/>
          <w:b/>
          <w:bCs w:val="0"/>
          <w:color w:val="000000"/>
          <w:sz w:val="28"/>
          <w:szCs w:val="28"/>
        </w:rPr>
        <w:t>2.8 现场统一管理协议</w:t>
      </w:r>
      <w:bookmarkEnd w:id="120"/>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发包人应与承包人、由发包人直接发包的专业工程的承包人签订施工现场统一管理协议，明确各方的权利义务。施工现场统一管理协议作为专用合同条款的附件。</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121" w:name="_Toc351203518"/>
      <w:r>
        <w:rPr>
          <w:rFonts w:hint="eastAsia" w:ascii="仿宋_GB2312" w:hAnsi="仿宋_GB2312" w:eastAsia="仿宋_GB2312" w:cs="仿宋_GB2312"/>
          <w:b/>
          <w:bCs w:val="0"/>
          <w:color w:val="000000"/>
          <w:sz w:val="28"/>
          <w:szCs w:val="28"/>
        </w:rPr>
        <w:t>3</w:t>
      </w:r>
      <w:bookmarkStart w:id="122" w:name="_Toc296503045"/>
      <w:bookmarkStart w:id="123" w:name="_Toc296346546"/>
      <w:bookmarkStart w:id="124" w:name="_Toc337558746"/>
      <w:r>
        <w:rPr>
          <w:rFonts w:hint="eastAsia" w:ascii="仿宋_GB2312" w:hAnsi="仿宋_GB2312" w:eastAsia="仿宋_GB2312" w:cs="仿宋_GB2312"/>
          <w:b/>
          <w:bCs w:val="0"/>
          <w:color w:val="000000"/>
          <w:sz w:val="28"/>
          <w:szCs w:val="28"/>
        </w:rPr>
        <w:t>. 承包人</w:t>
      </w:r>
      <w:bookmarkEnd w:id="121"/>
    </w:p>
    <w:bookmarkEnd w:id="122"/>
    <w:bookmarkEnd w:id="123"/>
    <w:bookmarkEnd w:id="124"/>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25" w:name="_Toc351203519"/>
      <w:r>
        <w:rPr>
          <w:rFonts w:hint="eastAsia" w:ascii="仿宋_GB2312" w:hAnsi="仿宋_GB2312" w:eastAsia="仿宋_GB2312" w:cs="仿宋_GB2312"/>
          <w:b/>
          <w:bCs w:val="0"/>
          <w:color w:val="000000"/>
          <w:sz w:val="28"/>
          <w:szCs w:val="28"/>
        </w:rPr>
        <w:t>3</w:t>
      </w:r>
      <w:bookmarkStart w:id="126" w:name="_Toc296346547"/>
      <w:bookmarkStart w:id="127" w:name="_Toc296503046"/>
      <w:bookmarkStart w:id="128" w:name="_Toc337558747"/>
      <w:r>
        <w:rPr>
          <w:rFonts w:hint="eastAsia" w:ascii="仿宋_GB2312" w:hAnsi="仿宋_GB2312" w:eastAsia="仿宋_GB2312" w:cs="仿宋_GB2312"/>
          <w:b/>
          <w:bCs w:val="0"/>
          <w:color w:val="000000"/>
          <w:sz w:val="28"/>
          <w:szCs w:val="28"/>
        </w:rPr>
        <w:t>.1 承包人的一般义务</w:t>
      </w:r>
      <w:bookmarkEnd w:id="125"/>
    </w:p>
    <w:bookmarkEnd w:id="126"/>
    <w:bookmarkEnd w:id="127"/>
    <w:bookmarkEnd w:id="128"/>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承包人在履行合同过程中应遵守法律和工程建设标准规范，并履行以下义务：</w:t>
      </w:r>
    </w:p>
    <w:p>
      <w:pPr>
        <w:numPr>
          <w:ilvl w:val="0"/>
          <w:numId w:val="15"/>
        </w:num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办理法律规定应由承包人办理的许可和批准，并将办理结果书面报送发包人留存；</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（2）按法律规定和合同约定完成工程，并在保修期内承担保修义务；</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（3）按法律规定和合同约定采取施工安全和环境保护措施，办理工伤保险，确保工程及人员、材料、设备和设施的安全；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（4）按合同约定的工作内容和施工进度要求，编制施工组织设计和施工措施计划，并对所有施工作业和施工方法的完备性和安全可靠性负责；</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（6）按照第6.3款〔环境保护〕约定负责施工场地及其周边环境与生态的保护工作；</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（7）按第6.1款〔安全文明施工〕约定采取施工安全措施，确保工程及其人员、材料、设备和设施的安全，防止因工程施工造成的人身伤害和财产损失；</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（8）将发包人按合同约定支付的各项价款专用于合同工程，且应及时支付其雇用人员工资，并及时向分包人支付合同价款；</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（9）按照法律规定和合同约定编制竣工资料，完成竣工资料立卷及归档，并按专用合同条款约定的竣工资料的套数、内容、时间等要求移交发包人；</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（10）应履行的其他义务。</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29" w:name="_Toc351203520"/>
      <w:r>
        <w:rPr>
          <w:rFonts w:hint="eastAsia" w:ascii="仿宋_GB2312" w:hAnsi="仿宋_GB2312" w:eastAsia="仿宋_GB2312" w:cs="仿宋_GB2312"/>
          <w:b/>
          <w:bCs w:val="0"/>
          <w:color w:val="000000"/>
          <w:sz w:val="28"/>
          <w:szCs w:val="28"/>
        </w:rPr>
        <w:t>3</w:t>
      </w:r>
      <w:bookmarkStart w:id="130" w:name="_Toc296346548"/>
      <w:bookmarkStart w:id="131" w:name="_Toc337558748"/>
      <w:bookmarkStart w:id="132" w:name="_Toc296503047"/>
      <w:r>
        <w:rPr>
          <w:rFonts w:hint="eastAsia" w:ascii="仿宋_GB2312" w:hAnsi="仿宋_GB2312" w:eastAsia="仿宋_GB2312" w:cs="仿宋_GB2312"/>
          <w:b/>
          <w:bCs w:val="0"/>
          <w:color w:val="000000"/>
          <w:sz w:val="28"/>
          <w:szCs w:val="28"/>
        </w:rPr>
        <w:t xml:space="preserve">.2 </w:t>
      </w:r>
      <w:bookmarkEnd w:id="129"/>
      <w:r>
        <w:rPr>
          <w:rFonts w:hint="eastAsia" w:ascii="仿宋_GB2312" w:hAnsi="仿宋_GB2312" w:eastAsia="仿宋_GB2312" w:cs="仿宋_GB2312"/>
          <w:b/>
          <w:bCs w:val="0"/>
          <w:color w:val="000000"/>
          <w:sz w:val="28"/>
          <w:szCs w:val="28"/>
        </w:rPr>
        <w:t>项目经理</w:t>
      </w:r>
    </w:p>
    <w:bookmarkEnd w:id="130"/>
    <w:bookmarkEnd w:id="131"/>
    <w:bookmarkEnd w:id="132"/>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承包人违反上述约定的，应按照专用合同条款的约定，承担违约责任。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3.2.5 项目经理因特殊情况授权其下属人员履行其某项工作职责的，该下属人员应具备履行相应职责的能力，并应提前7天将上述人员的姓名和授权范围书面通知监理人，并征得发包人书面同意。</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33" w:name="_Toc351203521"/>
      <w:r>
        <w:rPr>
          <w:rFonts w:hint="eastAsia" w:ascii="仿宋_GB2312" w:hAnsi="仿宋_GB2312" w:eastAsia="仿宋_GB2312" w:cs="仿宋_GB2312"/>
          <w:b/>
          <w:bCs w:val="0"/>
          <w:color w:val="000000"/>
          <w:sz w:val="28"/>
          <w:szCs w:val="28"/>
        </w:rPr>
        <w:t>3</w:t>
      </w:r>
      <w:bookmarkStart w:id="134" w:name="_Toc296346549"/>
      <w:bookmarkStart w:id="135" w:name="_Toc296503048"/>
      <w:bookmarkStart w:id="136" w:name="_Toc337558749"/>
      <w:r>
        <w:rPr>
          <w:rFonts w:hint="eastAsia" w:ascii="仿宋_GB2312" w:hAnsi="仿宋_GB2312" w:eastAsia="仿宋_GB2312" w:cs="仿宋_GB2312"/>
          <w:b/>
          <w:bCs w:val="0"/>
          <w:color w:val="000000"/>
          <w:sz w:val="28"/>
          <w:szCs w:val="28"/>
        </w:rPr>
        <w:t xml:space="preserve">.3 </w:t>
      </w:r>
      <w:bookmarkEnd w:id="134"/>
      <w:bookmarkEnd w:id="135"/>
      <w:r>
        <w:rPr>
          <w:rFonts w:hint="eastAsia" w:ascii="仿宋_GB2312" w:hAnsi="仿宋_GB2312" w:eastAsia="仿宋_GB2312" w:cs="仿宋_GB2312"/>
          <w:b/>
          <w:bCs w:val="0"/>
          <w:color w:val="000000"/>
          <w:sz w:val="28"/>
          <w:szCs w:val="28"/>
        </w:rPr>
        <w:t>承包人员</w:t>
      </w:r>
      <w:bookmarkEnd w:id="133"/>
    </w:p>
    <w:bookmarkEnd w:id="136"/>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特殊工种作业人员均应持有相应的资格证明，监理人可以随时检查。</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3.3.5 承包人擅自更换主要施工管理人员，或前述人员未经监理人或发包人同意擅自离开施工现场的，应按照专用合同条款约定承担违约责任。</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37" w:name="_Toc351203522"/>
      <w:r>
        <w:rPr>
          <w:rFonts w:hint="eastAsia" w:ascii="仿宋_GB2312" w:hAnsi="仿宋_GB2312" w:eastAsia="仿宋_GB2312" w:cs="仿宋_GB2312"/>
          <w:b/>
          <w:bCs w:val="0"/>
          <w:color w:val="000000"/>
          <w:sz w:val="28"/>
          <w:szCs w:val="28"/>
        </w:rPr>
        <w:t>3</w:t>
      </w:r>
      <w:bookmarkStart w:id="138" w:name="_Toc296503050"/>
      <w:bookmarkStart w:id="139" w:name="_Toc296346551"/>
      <w:bookmarkStart w:id="140" w:name="_Toc337558750"/>
      <w:r>
        <w:rPr>
          <w:rFonts w:hint="eastAsia" w:ascii="仿宋_GB2312" w:hAnsi="仿宋_GB2312" w:eastAsia="仿宋_GB2312" w:cs="仿宋_GB2312"/>
          <w:b/>
          <w:bCs w:val="0"/>
          <w:color w:val="000000"/>
          <w:sz w:val="28"/>
          <w:szCs w:val="28"/>
        </w:rPr>
        <w:t>.4 承包人现场查勘</w:t>
      </w:r>
      <w:bookmarkEnd w:id="137"/>
    </w:p>
    <w:bookmarkEnd w:id="138"/>
    <w:bookmarkEnd w:id="139"/>
    <w:bookmarkEnd w:id="140"/>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承包人应对基于发包人按照第2.4.3项〔提供基础资料〕提交的基础资料所做出的解释和推断负责，但因基础资料存在错误、遗漏导致承包人解释或推断失实的，由发包人承担责任。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41" w:name="_Toc351203523"/>
      <w:r>
        <w:rPr>
          <w:rFonts w:hint="eastAsia" w:ascii="仿宋_GB2312" w:hAnsi="仿宋_GB2312" w:eastAsia="仿宋_GB2312" w:cs="仿宋_GB2312"/>
          <w:b/>
          <w:bCs w:val="0"/>
          <w:color w:val="000000"/>
          <w:sz w:val="28"/>
          <w:szCs w:val="28"/>
        </w:rPr>
        <w:t>3</w:t>
      </w:r>
      <w:bookmarkStart w:id="142" w:name="_Toc337558751"/>
      <w:bookmarkStart w:id="143" w:name="_Toc296503051"/>
      <w:bookmarkStart w:id="144" w:name="_Toc296346552"/>
      <w:r>
        <w:rPr>
          <w:rFonts w:hint="eastAsia" w:ascii="仿宋_GB2312" w:hAnsi="仿宋_GB2312" w:eastAsia="仿宋_GB2312" w:cs="仿宋_GB2312"/>
          <w:b/>
          <w:bCs w:val="0"/>
          <w:color w:val="000000"/>
          <w:sz w:val="28"/>
          <w:szCs w:val="28"/>
        </w:rPr>
        <w:t>.5 分包</w:t>
      </w:r>
      <w:bookmarkEnd w:id="141"/>
    </w:p>
    <w:bookmarkEnd w:id="142"/>
    <w:bookmarkEnd w:id="143"/>
    <w:bookmarkEnd w:id="144"/>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3.5.1 分包的一般约定</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承包人不得以劳务分包的名义转包或违法分包工程。</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3.5.2 分包的确定</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3.5.3 分包管理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承包人应向监理人提交分包人的主要施工管理人员表，并对分包人的施工人员进行实名制管理，包括但不限于进出场管理、登记造册以及各种证照的办理。</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3.5.4 分包合同价款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（1）除本项第（2）目约定的情况或专用合同条款另有约定外，分包合同价款由承包人与分包人结算，未经承包人同意，发包人不得向分包人支付分包工程价款；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（2）生效法律文书要求发包人向分包人支付分包合同价款的，发包人有权从应付承包人工程款中扣除该部分款项。</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3.5.5 分包合同权益的转让</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45" w:name="_Toc351203524"/>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r>
        <w:rPr>
          <w:rFonts w:hint="eastAsia" w:ascii="仿宋_GB2312" w:hAnsi="仿宋_GB2312" w:eastAsia="仿宋_GB2312" w:cs="仿宋_GB2312"/>
          <w:b/>
          <w:bCs w:val="0"/>
          <w:color w:val="000000"/>
          <w:sz w:val="28"/>
          <w:szCs w:val="28"/>
        </w:rPr>
        <w:t>3.6 工程照管与成品、半成品保护</w:t>
      </w:r>
      <w:bookmarkEnd w:id="145"/>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（1）除专用合同条款另有约定外，自发包人向承包人移交施工现场之日起，承包人应负责照管工程及工程相关的材料、工程设备，直到颁发工程接收证书之日止。</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（2）在承包人负责照管期间，因承包人原因造成工程、材料、工程设备损坏的，由承包人负责修复或更换，并承担由此增加的费用和（或）延误的工期。</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（3）对合同内分期完成的成品和半成品，在工程接收证书颁发前，由承包人承担保护责任。因承包人原因造成成品或半成品损坏的，由承包人负责修复或更换，并承担由此增加的费用和（或）延误的工期。</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46" w:name="_Toc351203525"/>
      <w:r>
        <w:rPr>
          <w:rFonts w:hint="eastAsia" w:ascii="仿宋_GB2312" w:hAnsi="仿宋_GB2312" w:eastAsia="仿宋_GB2312" w:cs="仿宋_GB2312"/>
          <w:b/>
          <w:bCs w:val="0"/>
          <w:color w:val="000000"/>
          <w:sz w:val="28"/>
          <w:szCs w:val="28"/>
        </w:rPr>
        <w:t>3</w:t>
      </w:r>
      <w:bookmarkStart w:id="147" w:name="_Toc296503052"/>
      <w:bookmarkStart w:id="148" w:name="_Toc337558752"/>
      <w:bookmarkStart w:id="149" w:name="_Toc296346553"/>
      <w:r>
        <w:rPr>
          <w:rFonts w:hint="eastAsia" w:ascii="仿宋_GB2312" w:hAnsi="仿宋_GB2312" w:eastAsia="仿宋_GB2312" w:cs="仿宋_GB2312"/>
          <w:b/>
          <w:bCs w:val="0"/>
          <w:color w:val="000000"/>
          <w:sz w:val="28"/>
          <w:szCs w:val="28"/>
        </w:rPr>
        <w:t>.7 履约担保</w:t>
      </w:r>
      <w:bookmarkEnd w:id="146"/>
    </w:p>
    <w:bookmarkEnd w:id="147"/>
    <w:bookmarkEnd w:id="148"/>
    <w:bookmarkEnd w:id="149"/>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发包人需要承包人提供履约担保的，由合同当事人在专用合同条款中约定履约担保的方式、金额及期限等。履约担保可以采用银行保函或担保公司担保等形式，具体由合同当事人在专用合同条款中约定。</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因承包人原因导致工期延长的，继续提供履约担保所增加的费用由承包人承担；非因承包人原因导致工期延长的，继续提供履约担保所增加的费用由发包人承担。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50" w:name="_Toc351203526"/>
      <w:r>
        <w:rPr>
          <w:rFonts w:hint="eastAsia" w:ascii="仿宋_GB2312" w:hAnsi="仿宋_GB2312" w:eastAsia="仿宋_GB2312" w:cs="仿宋_GB2312"/>
          <w:b/>
          <w:bCs w:val="0"/>
          <w:color w:val="000000"/>
          <w:sz w:val="28"/>
          <w:szCs w:val="28"/>
        </w:rPr>
        <w:t>3.8 联合体</w:t>
      </w:r>
      <w:bookmarkEnd w:id="150"/>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3.8.1 联合体各方应共同与发包人签订合同协议书。联合体各方应为履行合同向发包人承担连带责任。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3.8.2 联合体协议经发包人确认后作为合同附件。在履行合同过程中，未经发包人同意，不得修改联合体协议。</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3.8.3 联合体牵头人负责与发包人和监理人联系，并接受指示，负责组织联合体各成员全面履行合同。</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151" w:name="_Toc351203527"/>
      <w:r>
        <w:rPr>
          <w:rFonts w:hint="eastAsia" w:ascii="仿宋_GB2312" w:hAnsi="仿宋_GB2312" w:eastAsia="仿宋_GB2312" w:cs="仿宋_GB2312"/>
          <w:b/>
          <w:bCs w:val="0"/>
          <w:color w:val="000000"/>
          <w:sz w:val="28"/>
          <w:szCs w:val="28"/>
        </w:rPr>
        <w:t>4</w:t>
      </w:r>
      <w:bookmarkStart w:id="152" w:name="_Toc296503053"/>
      <w:bookmarkStart w:id="153" w:name="_Toc296346554"/>
      <w:bookmarkStart w:id="154" w:name="_Toc337558753"/>
      <w:r>
        <w:rPr>
          <w:rFonts w:hint="eastAsia" w:ascii="仿宋_GB2312" w:hAnsi="仿宋_GB2312" w:eastAsia="仿宋_GB2312" w:cs="仿宋_GB2312"/>
          <w:b/>
          <w:bCs w:val="0"/>
          <w:color w:val="000000"/>
          <w:sz w:val="28"/>
          <w:szCs w:val="28"/>
        </w:rPr>
        <w:t>. 监</w:t>
      </w:r>
      <w:bookmarkEnd w:id="152"/>
      <w:bookmarkEnd w:id="153"/>
      <w:r>
        <w:rPr>
          <w:rFonts w:hint="eastAsia" w:ascii="仿宋_GB2312" w:hAnsi="仿宋_GB2312" w:eastAsia="仿宋_GB2312" w:cs="仿宋_GB2312"/>
          <w:b/>
          <w:bCs w:val="0"/>
          <w:color w:val="000000"/>
          <w:sz w:val="28"/>
          <w:szCs w:val="28"/>
        </w:rPr>
        <w:t>理人</w:t>
      </w:r>
      <w:bookmarkEnd w:id="151"/>
    </w:p>
    <w:bookmarkEnd w:id="154"/>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55" w:name="_Toc351203528"/>
      <w:r>
        <w:rPr>
          <w:rFonts w:hint="eastAsia" w:ascii="仿宋_GB2312" w:hAnsi="仿宋_GB2312" w:eastAsia="仿宋_GB2312" w:cs="仿宋_GB2312"/>
          <w:b/>
          <w:bCs w:val="0"/>
          <w:color w:val="000000"/>
          <w:sz w:val="28"/>
          <w:szCs w:val="28"/>
        </w:rPr>
        <w:t>4</w:t>
      </w:r>
      <w:bookmarkStart w:id="156" w:name="_Toc296503054"/>
      <w:bookmarkStart w:id="157" w:name="_Toc337558754"/>
      <w:bookmarkStart w:id="158" w:name="_Toc296346555"/>
      <w:r>
        <w:rPr>
          <w:rFonts w:hint="eastAsia" w:ascii="仿宋_GB2312" w:hAnsi="仿宋_GB2312" w:eastAsia="仿宋_GB2312" w:cs="仿宋_GB2312"/>
          <w:b/>
          <w:bCs w:val="0"/>
          <w:color w:val="000000"/>
          <w:sz w:val="28"/>
          <w:szCs w:val="28"/>
        </w:rPr>
        <w:t>.1监理人的一般规定</w:t>
      </w:r>
      <w:bookmarkEnd w:id="155"/>
    </w:p>
    <w:bookmarkEnd w:id="156"/>
    <w:bookmarkEnd w:id="157"/>
    <w:bookmarkEnd w:id="158"/>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除专用合同条款另有约定外，监理人在施工现场的办公场所、生活场所由承包人提供，所发生的费用由发包人承担。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59" w:name="_Toc351203529"/>
      <w:r>
        <w:rPr>
          <w:rFonts w:hint="eastAsia" w:ascii="仿宋_GB2312" w:hAnsi="仿宋_GB2312" w:eastAsia="仿宋_GB2312" w:cs="仿宋_GB2312"/>
          <w:b/>
          <w:bCs w:val="0"/>
          <w:color w:val="000000"/>
          <w:sz w:val="28"/>
          <w:szCs w:val="28"/>
        </w:rPr>
        <w:t>4</w:t>
      </w:r>
      <w:bookmarkStart w:id="160" w:name="_Toc337558755"/>
      <w:r>
        <w:rPr>
          <w:rFonts w:hint="eastAsia" w:ascii="仿宋_GB2312" w:hAnsi="仿宋_GB2312" w:eastAsia="仿宋_GB2312" w:cs="仿宋_GB2312"/>
          <w:b/>
          <w:bCs w:val="0"/>
          <w:color w:val="000000"/>
          <w:sz w:val="28"/>
          <w:szCs w:val="28"/>
        </w:rPr>
        <w:t>.2监理人员</w:t>
      </w:r>
      <w:bookmarkEnd w:id="159"/>
    </w:p>
    <w:bookmarkEnd w:id="160"/>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61" w:name="_Toc351203530"/>
      <w:r>
        <w:rPr>
          <w:rFonts w:hint="eastAsia" w:ascii="仿宋_GB2312" w:hAnsi="仿宋_GB2312" w:eastAsia="仿宋_GB2312" w:cs="仿宋_GB2312"/>
          <w:b/>
          <w:bCs w:val="0"/>
          <w:color w:val="000000"/>
          <w:sz w:val="28"/>
          <w:szCs w:val="28"/>
        </w:rPr>
        <w:t>4</w:t>
      </w:r>
      <w:bookmarkStart w:id="162" w:name="_Toc296346556"/>
      <w:bookmarkStart w:id="163" w:name="_Toc296503055"/>
      <w:bookmarkStart w:id="164" w:name="_Toc337558756"/>
      <w:r>
        <w:rPr>
          <w:rFonts w:hint="eastAsia" w:ascii="仿宋_GB2312" w:hAnsi="仿宋_GB2312" w:eastAsia="仿宋_GB2312" w:cs="仿宋_GB2312"/>
          <w:b/>
          <w:bCs w:val="0"/>
          <w:color w:val="000000"/>
          <w:sz w:val="28"/>
          <w:szCs w:val="28"/>
        </w:rPr>
        <w:t>.3</w:t>
      </w:r>
      <w:bookmarkEnd w:id="162"/>
      <w:bookmarkEnd w:id="163"/>
      <w:r>
        <w:rPr>
          <w:rFonts w:hint="eastAsia" w:ascii="仿宋_GB2312" w:hAnsi="仿宋_GB2312" w:eastAsia="仿宋_GB2312" w:cs="仿宋_GB2312"/>
          <w:b/>
          <w:bCs w:val="0"/>
          <w:color w:val="000000"/>
          <w:sz w:val="28"/>
          <w:szCs w:val="28"/>
        </w:rPr>
        <w:t>监理人的指</w:t>
      </w:r>
      <w:bookmarkEnd w:id="164"/>
      <w:r>
        <w:rPr>
          <w:rFonts w:hint="eastAsia" w:ascii="仿宋_GB2312" w:hAnsi="仿宋_GB2312" w:eastAsia="仿宋_GB2312" w:cs="仿宋_GB2312"/>
          <w:b/>
          <w:bCs w:val="0"/>
          <w:color w:val="000000"/>
          <w:sz w:val="28"/>
          <w:szCs w:val="28"/>
        </w:rPr>
        <w:t>示</w:t>
      </w:r>
      <w:bookmarkEnd w:id="161"/>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承包人对监理人发出的指示有疑问的，应向监理人提出书面异议，监理人应在48小时内对该指示予以确认、更改或撤销，监理人逾期未回复的，承包人有权拒绝执行上述指示。</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监理人对承包人的任何工作、工程或其采用的材料和工程设备未在约定的或合理期限内提出意见的，视为批准，但不免除或减轻承包人对该工作、工程、材料、工程设备等应承担的责任和义务。</w:t>
      </w:r>
    </w:p>
    <w:p>
      <w:pPr>
        <w:pStyle w:val="5"/>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65" w:name="_Toc351203531"/>
      <w:r>
        <w:rPr>
          <w:rFonts w:hint="eastAsia" w:ascii="仿宋_GB2312" w:hAnsi="仿宋_GB2312" w:eastAsia="仿宋_GB2312" w:cs="仿宋_GB2312"/>
          <w:b/>
          <w:bCs w:val="0"/>
          <w:color w:val="000000"/>
          <w:sz w:val="28"/>
          <w:szCs w:val="28"/>
        </w:rPr>
        <w:t>4</w:t>
      </w:r>
      <w:bookmarkStart w:id="166" w:name="_Toc296503057"/>
      <w:bookmarkStart w:id="167" w:name="_Toc337558757"/>
      <w:bookmarkStart w:id="168" w:name="_Toc296346558"/>
      <w:r>
        <w:rPr>
          <w:rFonts w:hint="eastAsia" w:ascii="仿宋_GB2312" w:hAnsi="仿宋_GB2312" w:eastAsia="仿宋_GB2312" w:cs="仿宋_GB2312"/>
          <w:b/>
          <w:bCs w:val="0"/>
          <w:color w:val="000000"/>
          <w:sz w:val="28"/>
          <w:szCs w:val="28"/>
        </w:rPr>
        <w:t>.4 商定或确定</w:t>
      </w:r>
      <w:bookmarkEnd w:id="165"/>
    </w:p>
    <w:bookmarkEnd w:id="166"/>
    <w:bookmarkEnd w:id="167"/>
    <w:bookmarkEnd w:id="168"/>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合同当事人进行商定或确定时，总监理工程师应当会同合同当事人尽量通过协商达成一致，不能达成一致的，由总监理工程师按照合同约定审慎做出公正的确定。</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169" w:name="_Toc351203532"/>
      <w:r>
        <w:rPr>
          <w:rFonts w:hint="eastAsia" w:ascii="仿宋_GB2312" w:hAnsi="仿宋_GB2312" w:eastAsia="仿宋_GB2312" w:cs="仿宋_GB2312"/>
          <w:b/>
          <w:bCs w:val="0"/>
          <w:color w:val="000000"/>
          <w:sz w:val="28"/>
          <w:szCs w:val="28"/>
        </w:rPr>
        <w:t>5</w:t>
      </w:r>
      <w:bookmarkStart w:id="170" w:name="_Toc337558758"/>
      <w:r>
        <w:rPr>
          <w:rFonts w:hint="eastAsia" w:ascii="仿宋_GB2312" w:hAnsi="仿宋_GB2312" w:eastAsia="仿宋_GB2312" w:cs="仿宋_GB2312"/>
          <w:b/>
          <w:bCs w:val="0"/>
          <w:color w:val="000000"/>
          <w:sz w:val="28"/>
          <w:szCs w:val="28"/>
        </w:rPr>
        <w:t>. 工程质量</w:t>
      </w:r>
      <w:bookmarkEnd w:id="169"/>
    </w:p>
    <w:bookmarkEnd w:id="170"/>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71" w:name="_Toc351203533"/>
      <w:r>
        <w:rPr>
          <w:rFonts w:hint="eastAsia" w:ascii="仿宋_GB2312" w:hAnsi="仿宋_GB2312" w:eastAsia="仿宋_GB2312" w:cs="仿宋_GB2312"/>
          <w:b/>
          <w:bCs w:val="0"/>
          <w:color w:val="000000"/>
          <w:sz w:val="28"/>
          <w:szCs w:val="28"/>
        </w:rPr>
        <w:t>5</w:t>
      </w:r>
      <w:bookmarkStart w:id="172" w:name="_Toc337558759"/>
      <w:r>
        <w:rPr>
          <w:rFonts w:hint="eastAsia" w:ascii="仿宋_GB2312" w:hAnsi="仿宋_GB2312" w:eastAsia="仿宋_GB2312" w:cs="仿宋_GB2312"/>
          <w:b/>
          <w:bCs w:val="0"/>
          <w:color w:val="000000"/>
          <w:sz w:val="28"/>
          <w:szCs w:val="28"/>
        </w:rPr>
        <w:t>.1质量要求</w:t>
      </w:r>
      <w:bookmarkEnd w:id="171"/>
    </w:p>
    <w:bookmarkEnd w:id="172"/>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5.1.1 工程质量标准必须符合现行国家有关工程施工质量验收规范和标准的要求。有关工程质量的特殊标准或要求由合同当事人在专用合同条款中约定。</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5.1.2 因发包人原因造成工程质量未达到合同约定标准的，由发包人承担由此增加的费用和（或）延误的工期，并支付承包人合理的利润。</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5.1.3 因承包人原因造成工程质量未达到合同约定标准的，发包人有权要求承包人返工直至工程质量达到合同约定的标准为止，并由承包人承担由此增加的费用和（或）延误的工期。</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73" w:name="_Toc351203534"/>
      <w:r>
        <w:rPr>
          <w:rFonts w:hint="eastAsia" w:ascii="仿宋_GB2312" w:hAnsi="仿宋_GB2312" w:eastAsia="仿宋_GB2312" w:cs="仿宋_GB2312"/>
          <w:b/>
          <w:bCs w:val="0"/>
          <w:color w:val="000000"/>
          <w:sz w:val="28"/>
          <w:szCs w:val="28"/>
        </w:rPr>
        <w:t>5</w:t>
      </w:r>
      <w:bookmarkStart w:id="174" w:name="_Toc337558760"/>
      <w:r>
        <w:rPr>
          <w:rFonts w:hint="eastAsia" w:ascii="仿宋_GB2312" w:hAnsi="仿宋_GB2312" w:eastAsia="仿宋_GB2312" w:cs="仿宋_GB2312"/>
          <w:b/>
          <w:bCs w:val="0"/>
          <w:color w:val="000000"/>
          <w:sz w:val="28"/>
          <w:szCs w:val="28"/>
        </w:rPr>
        <w:t>.2质量保证措施</w:t>
      </w:r>
      <w:bookmarkEnd w:id="173"/>
    </w:p>
    <w:bookmarkEnd w:id="174"/>
    <w:p>
      <w:pPr>
        <w:autoSpaceDE w:val="0"/>
        <w:autoSpaceDN w:val="0"/>
        <w:adjustRightInd w:val="0"/>
        <w:spacing w:beforeLines="0" w:afterLines="0" w:line="560" w:lineRule="exact"/>
        <w:ind w:firstLine="562" w:firstLineChars="200"/>
        <w:jc w:val="left"/>
        <w:outlineLvl w:val="0"/>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5.2.1 发包人的质量管理</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发包人应按照法律规定及合同约定完成与工程质量有关的各项工作。</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5.2.2 承包人的质量管理</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承包人应对施工人员进行质量教育和技术培训，定期考核施工人员的劳动技能，严格执行施工规范和操作规程。</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pPr>
        <w:autoSpaceDE w:val="0"/>
        <w:autoSpaceDN w:val="0"/>
        <w:adjustRightInd w:val="0"/>
        <w:spacing w:beforeLines="0" w:afterLines="0" w:line="560" w:lineRule="exact"/>
        <w:ind w:firstLine="562" w:firstLineChars="200"/>
        <w:jc w:val="left"/>
        <w:outlineLvl w:val="0"/>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5.2.3 监理人的质量检查和检验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75" w:name="_Toc351203535"/>
      <w:r>
        <w:rPr>
          <w:rFonts w:hint="eastAsia" w:ascii="仿宋_GB2312" w:hAnsi="仿宋_GB2312" w:eastAsia="仿宋_GB2312" w:cs="仿宋_GB2312"/>
          <w:b/>
          <w:bCs w:val="0"/>
          <w:color w:val="000000"/>
          <w:sz w:val="28"/>
          <w:szCs w:val="28"/>
        </w:rPr>
        <w:t>5</w:t>
      </w:r>
      <w:bookmarkStart w:id="176" w:name="_Toc337558761"/>
      <w:r>
        <w:rPr>
          <w:rFonts w:hint="eastAsia" w:ascii="仿宋_GB2312" w:hAnsi="仿宋_GB2312" w:eastAsia="仿宋_GB2312" w:cs="仿宋_GB2312"/>
          <w:b/>
          <w:bCs w:val="0"/>
          <w:color w:val="000000"/>
          <w:sz w:val="28"/>
          <w:szCs w:val="28"/>
        </w:rPr>
        <w:t>.3 隐蔽工程检查</w:t>
      </w:r>
      <w:bookmarkEnd w:id="175"/>
    </w:p>
    <w:bookmarkEnd w:id="176"/>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5.3.1承包人自检</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承包人应当对工程隐蔽部位进行自检，并经自检确认是否具备覆盖条件。</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5.3.2检查程序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5.3.3 重新检查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5.3.4 承包人私自覆盖</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承包人未通知监理人到场检查，私自将工程隐蔽部位覆盖的，监理人有权指示承包人钻孔探测或揭开检查，无论工程隐蔽部位质量是否合格，由此增加的费用和（或）延误的工期均由承包人承担。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77" w:name="_Toc351203536"/>
      <w:r>
        <w:rPr>
          <w:rFonts w:hint="eastAsia" w:ascii="仿宋_GB2312" w:hAnsi="仿宋_GB2312" w:eastAsia="仿宋_GB2312" w:cs="仿宋_GB2312"/>
          <w:b/>
          <w:bCs w:val="0"/>
          <w:color w:val="000000"/>
          <w:sz w:val="28"/>
          <w:szCs w:val="28"/>
        </w:rPr>
        <w:t>5</w:t>
      </w:r>
      <w:bookmarkStart w:id="178" w:name="_Toc337558762"/>
      <w:r>
        <w:rPr>
          <w:rFonts w:hint="eastAsia" w:ascii="仿宋_GB2312" w:hAnsi="仿宋_GB2312" w:eastAsia="仿宋_GB2312" w:cs="仿宋_GB2312"/>
          <w:b/>
          <w:bCs w:val="0"/>
          <w:color w:val="000000"/>
          <w:sz w:val="28"/>
          <w:szCs w:val="28"/>
        </w:rPr>
        <w:t>.4不合格工程的处理</w:t>
      </w:r>
      <w:bookmarkEnd w:id="177"/>
    </w:p>
    <w:bookmarkEnd w:id="178"/>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5.4.2 因发包人原因造成工程不合格的，由此增加的费用和（或）延误的工期由发包人承担，并支付承包人合理的利润。</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79" w:name="_Toc351203537"/>
      <w:r>
        <w:rPr>
          <w:rFonts w:hint="eastAsia" w:ascii="仿宋_GB2312" w:hAnsi="仿宋_GB2312" w:eastAsia="仿宋_GB2312" w:cs="仿宋_GB2312"/>
          <w:b/>
          <w:bCs w:val="0"/>
          <w:color w:val="000000"/>
          <w:sz w:val="28"/>
          <w:szCs w:val="28"/>
        </w:rPr>
        <w:t>5.5 质量争议检测</w:t>
      </w:r>
      <w:bookmarkEnd w:id="179"/>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合同当事人对工程质量有争议的，由双方协商确定的工程质量检测机构鉴定，由此产生的费用及因此造成的损失，由责任方承担。</w:t>
      </w:r>
    </w:p>
    <w:p>
      <w:pPr>
        <w:autoSpaceDE w:val="0"/>
        <w:autoSpaceDN w:val="0"/>
        <w:adjustRightInd w:val="0"/>
        <w:spacing w:beforeLines="0" w:afterLines="0" w:line="56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合同当事人均有责任的，由双方根据其责任分别承担。合同当事人无法达成一致的，按照第4.4款〔商定或确定〕执行。</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180" w:name="_Toc351203538"/>
      <w:r>
        <w:rPr>
          <w:rFonts w:hint="eastAsia" w:ascii="仿宋_GB2312" w:hAnsi="仿宋_GB2312" w:eastAsia="仿宋_GB2312" w:cs="仿宋_GB2312"/>
          <w:b/>
          <w:bCs w:val="0"/>
          <w:color w:val="000000"/>
          <w:sz w:val="28"/>
          <w:szCs w:val="28"/>
        </w:rPr>
        <w:t>6</w:t>
      </w:r>
      <w:bookmarkStart w:id="181" w:name="_Toc337558763"/>
      <w:r>
        <w:rPr>
          <w:rFonts w:hint="eastAsia" w:ascii="仿宋_GB2312" w:hAnsi="仿宋_GB2312" w:eastAsia="仿宋_GB2312" w:cs="仿宋_GB2312"/>
          <w:b/>
          <w:bCs w:val="0"/>
          <w:color w:val="000000"/>
          <w:sz w:val="28"/>
          <w:szCs w:val="28"/>
        </w:rPr>
        <w:t>. 安全文明施工与环境保护</w:t>
      </w:r>
      <w:bookmarkEnd w:id="180"/>
    </w:p>
    <w:bookmarkEnd w:id="181"/>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82" w:name="_Toc351203539"/>
      <w:r>
        <w:rPr>
          <w:rFonts w:hint="eastAsia" w:ascii="仿宋_GB2312" w:hAnsi="仿宋_GB2312" w:eastAsia="仿宋_GB2312" w:cs="仿宋_GB2312"/>
          <w:b/>
          <w:bCs w:val="0"/>
          <w:color w:val="000000"/>
          <w:sz w:val="28"/>
          <w:szCs w:val="28"/>
        </w:rPr>
        <w:t>6</w:t>
      </w:r>
      <w:bookmarkStart w:id="183" w:name="_Toc337558764"/>
      <w:r>
        <w:rPr>
          <w:rFonts w:hint="eastAsia" w:ascii="仿宋_GB2312" w:hAnsi="仿宋_GB2312" w:eastAsia="仿宋_GB2312" w:cs="仿宋_GB2312"/>
          <w:b/>
          <w:bCs w:val="0"/>
          <w:color w:val="000000"/>
          <w:sz w:val="28"/>
          <w:szCs w:val="28"/>
        </w:rPr>
        <w:t>.1安全文明施工</w:t>
      </w:r>
      <w:bookmarkEnd w:id="182"/>
    </w:p>
    <w:bookmarkEnd w:id="183"/>
    <w:p>
      <w:pPr>
        <w:spacing w:beforeLines="0" w:afterLines="0" w:line="560" w:lineRule="exact"/>
        <w:ind w:firstLine="562" w:firstLineChars="200"/>
        <w:jc w:val="left"/>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6.1.1安全生产要求</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在施工过程中，如遇到突发的地质变动、事先未知的地下施工障碍等影响施工安全的紧急情况，承包人应及时报告监理人和发包人，发包人应当及时下令停工并报</w:t>
      </w:r>
      <w:r>
        <w:rPr>
          <w:rFonts w:hint="eastAsia" w:ascii="仿宋_GB2312" w:hAnsi="仿宋_GB2312" w:eastAsia="仿宋_GB2312" w:cs="仿宋_GB2312"/>
          <w:color w:val="000000"/>
          <w:kern w:val="0"/>
          <w:sz w:val="28"/>
          <w:szCs w:val="28"/>
        </w:rPr>
        <w:t>政府有关行政管理部门</w:t>
      </w:r>
      <w:r>
        <w:rPr>
          <w:rFonts w:hint="eastAsia" w:ascii="仿宋_GB2312" w:hAnsi="仿宋_GB2312" w:eastAsia="仿宋_GB2312" w:cs="仿宋_GB2312"/>
          <w:color w:val="000000"/>
          <w:sz w:val="28"/>
          <w:szCs w:val="28"/>
        </w:rPr>
        <w:t>采取应急措施。</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因安全生产需要暂停施工的，按照第7.8款〔暂停施工〕的约定执行。</w:t>
      </w:r>
    </w:p>
    <w:p>
      <w:pPr>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6.1.2 安全生产保证措施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承包人应当按照有关</w:t>
      </w:r>
      <w:r>
        <w:rPr>
          <w:rFonts w:hint="eastAsia" w:ascii="仿宋_GB2312" w:hAnsi="仿宋_GB2312" w:eastAsia="仿宋_GB2312" w:cs="仿宋_GB2312"/>
          <w:color w:val="000000"/>
          <w:kern w:val="0"/>
          <w:sz w:val="28"/>
          <w:szCs w:val="28"/>
        </w:rPr>
        <w:t>规定编制安全技术措施或者专项施工方案，</w:t>
      </w:r>
      <w:r>
        <w:rPr>
          <w:rFonts w:hint="eastAsia" w:ascii="仿宋_GB2312" w:hAnsi="仿宋_GB2312" w:eastAsia="仿宋_GB2312" w:cs="仿宋_GB2312"/>
          <w:color w:val="000000"/>
          <w:sz w:val="28"/>
          <w:szCs w:val="28"/>
        </w:rPr>
        <w:t>建立安全生产责任制度、治安保卫制度及安全生产教育培训制度，并</w:t>
      </w:r>
      <w:r>
        <w:rPr>
          <w:rFonts w:hint="eastAsia" w:ascii="仿宋_GB2312" w:hAnsi="仿宋_GB2312" w:eastAsia="仿宋_GB2312" w:cs="仿宋_GB2312"/>
          <w:color w:val="000000"/>
          <w:kern w:val="0"/>
          <w:sz w:val="28"/>
          <w:szCs w:val="28"/>
        </w:rPr>
        <w:t>按安全生产法律规定及合同约定履行安全职责，如实</w:t>
      </w:r>
      <w:r>
        <w:rPr>
          <w:rFonts w:hint="eastAsia" w:ascii="仿宋_GB2312" w:hAnsi="仿宋_GB2312" w:eastAsia="仿宋_GB2312" w:cs="仿宋_GB2312"/>
          <w:color w:val="000000"/>
          <w:sz w:val="28"/>
          <w:szCs w:val="28"/>
        </w:rPr>
        <w:t>编制工程安全生产的有关记录，</w:t>
      </w:r>
      <w:r>
        <w:rPr>
          <w:rFonts w:hint="eastAsia" w:ascii="仿宋_GB2312" w:hAnsi="仿宋_GB2312" w:eastAsia="仿宋_GB2312" w:cs="仿宋_GB2312"/>
          <w:color w:val="000000"/>
          <w:kern w:val="0"/>
          <w:sz w:val="28"/>
          <w:szCs w:val="28"/>
        </w:rPr>
        <w:t>接受发包人、监理人及政府安全监督部门的检查与监督。</w:t>
      </w:r>
    </w:p>
    <w:p>
      <w:pPr>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6.1.3特别安全生产事项</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承包人在动力设备、输电线路、地下管道、密封防震车间、易燃易爆地段以及临街交通要道附近施工时，施工开始前应向发包人和监理人提出安全防护措施，经发包人认可后实施。 </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实施爆破作业，在放射、毒害性环境中施工（含储存、运输、使用）及使用毒害性、腐蚀性物品施工时，承包人应在施工前7天以书面通知发包人和监理人，并报送相应的安全防护措施，经发包人认可后实施。</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需单独编制危险性较大分部分项专项工程施工方案的，及要求进行专家论证的超过一定规模的危险性较大的分部分项工程，承包人应及时编制和组织论证。</w:t>
      </w:r>
    </w:p>
    <w:p>
      <w:pPr>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6.1.4 治安保卫</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除专用合同条款另有约定外，发包人应与当地公安部门协商，在现场建立治安管理机构或联防组织，统一管理施工场地的治安保卫事项，履行合同工程的治安保卫职责。</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发包人和承包人除应协助现场治安管理机构或联防组织维护施工场地的社会治安外，还应做好包括生活区在内的各自管辖区的治安保卫工作。</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6.1.5 文明施工</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承包人在工程施工期间，应当采取措施保持施工现场平整，物料堆放整齐。工程所在地有关政府行政管理部门有特殊要求的，按照其要求执行。合同当事人对文明施工有其他要求的，可以在专用合同条款中明确。</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pPr>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6.1.6 安全文明施工费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安全文明施工费由发包人承担，发包人不得以任何形式扣减该部分费用。因基准日期后合同所适用的法律或政府有关规定发生变化，增加的安全文明施工费由发包人承担。</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6.1.7 紧急情况处理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6.1.8 事故处理</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6.1.9 安全生产责任</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6.1.9.1 发包人的安全责任</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发包人应负责赔偿以下各种情况造成的损失：</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（1）工程或工程的任何部分对土地的占用所造成的第三者财产损失；</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（2）由于发包人原因在施工场地及其毗邻地带造成的第三者人身伤亡和财产损失；</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（3）由于发包人原因对承包人、监理人造成的人员人身伤亡和财产损失；</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（4）由于发包人原因造成的发包人自身人员的人身伤害以及财产损失。</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6.1.9.2 承包人的安全责任</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由于承包人原因在施工场地内及其毗邻地带造成的发包人、监理人以及第三者人员伤亡和财产损失，由承包人负责赔偿。</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84" w:name="_Toc351203540"/>
      <w:r>
        <w:rPr>
          <w:rFonts w:hint="eastAsia" w:ascii="仿宋_GB2312" w:hAnsi="仿宋_GB2312" w:eastAsia="仿宋_GB2312" w:cs="仿宋_GB2312"/>
          <w:b/>
          <w:bCs w:val="0"/>
          <w:color w:val="000000"/>
          <w:sz w:val="28"/>
          <w:szCs w:val="28"/>
        </w:rPr>
        <w:t>6</w:t>
      </w:r>
      <w:bookmarkStart w:id="185" w:name="_Toc337558765"/>
      <w:r>
        <w:rPr>
          <w:rFonts w:hint="eastAsia" w:ascii="仿宋_GB2312" w:hAnsi="仿宋_GB2312" w:eastAsia="仿宋_GB2312" w:cs="仿宋_GB2312"/>
          <w:b/>
          <w:bCs w:val="0"/>
          <w:color w:val="000000"/>
          <w:sz w:val="28"/>
          <w:szCs w:val="28"/>
        </w:rPr>
        <w:t>.2 职业健康</w:t>
      </w:r>
      <w:bookmarkEnd w:id="184"/>
    </w:p>
    <w:bookmarkEnd w:id="185"/>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6.2.1 劳动保护</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承包人应按法律规定安排工作时间，保证其雇佣人员享有休息和休假的权利。因工程施工的特殊需要占用休假日或延长工作时间的，应不超过法律规定的限度，并按法律规定给予补休或付酬。</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6.2.2 生活条件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86" w:name="_Toc351203541"/>
      <w:r>
        <w:rPr>
          <w:rFonts w:hint="eastAsia" w:ascii="仿宋_GB2312" w:hAnsi="仿宋_GB2312" w:eastAsia="仿宋_GB2312" w:cs="仿宋_GB2312"/>
          <w:b/>
          <w:bCs w:val="0"/>
          <w:color w:val="000000"/>
          <w:sz w:val="28"/>
          <w:szCs w:val="28"/>
        </w:rPr>
        <w:t>6</w:t>
      </w:r>
      <w:bookmarkStart w:id="187" w:name="_Toc337558766"/>
      <w:r>
        <w:rPr>
          <w:rFonts w:hint="eastAsia" w:ascii="仿宋_GB2312" w:hAnsi="仿宋_GB2312" w:eastAsia="仿宋_GB2312" w:cs="仿宋_GB2312"/>
          <w:b/>
          <w:bCs w:val="0"/>
          <w:color w:val="000000"/>
          <w:sz w:val="28"/>
          <w:szCs w:val="28"/>
        </w:rPr>
        <w:t>.3 环境保护</w:t>
      </w:r>
      <w:bookmarkEnd w:id="186"/>
    </w:p>
    <w:bookmarkEnd w:id="187"/>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承包人应在施工组织设计中列明环境保护的具体措施。在合同履行期间，承包人应采取合理措施保护施工现场环境。对施工作业过程中可能引起的大气、水、噪音以及固体废物污染采取具体可行的防范措施。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承包人应当承担因其原因引起的环境污染侵权损害赔偿责任，因上述环境污染引起纠纷而导致暂停施工的，由此增加的费用和（或）延误的工期由承包人承担。</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188" w:name="_Toc351203542"/>
      <w:r>
        <w:rPr>
          <w:rFonts w:hint="eastAsia" w:ascii="仿宋_GB2312" w:hAnsi="仿宋_GB2312" w:eastAsia="仿宋_GB2312" w:cs="仿宋_GB2312"/>
          <w:b/>
          <w:bCs w:val="0"/>
          <w:color w:val="000000"/>
          <w:sz w:val="28"/>
          <w:szCs w:val="28"/>
        </w:rPr>
        <w:t>7</w:t>
      </w:r>
      <w:bookmarkStart w:id="189" w:name="_Toc337558767"/>
      <w:r>
        <w:rPr>
          <w:rFonts w:hint="eastAsia" w:ascii="仿宋_GB2312" w:hAnsi="仿宋_GB2312" w:eastAsia="仿宋_GB2312" w:cs="仿宋_GB2312"/>
          <w:b/>
          <w:bCs w:val="0"/>
          <w:color w:val="000000"/>
          <w:sz w:val="28"/>
          <w:szCs w:val="28"/>
        </w:rPr>
        <w:t>. 工期和进度</w:t>
      </w:r>
      <w:bookmarkEnd w:id="188"/>
    </w:p>
    <w:bookmarkEnd w:id="189"/>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90" w:name="_Toc351203543"/>
      <w:r>
        <w:rPr>
          <w:rFonts w:hint="eastAsia" w:ascii="仿宋_GB2312" w:hAnsi="仿宋_GB2312" w:eastAsia="仿宋_GB2312" w:cs="仿宋_GB2312"/>
          <w:b/>
          <w:bCs w:val="0"/>
          <w:color w:val="000000"/>
          <w:sz w:val="28"/>
          <w:szCs w:val="28"/>
        </w:rPr>
        <w:t>7</w:t>
      </w:r>
      <w:bookmarkStart w:id="191" w:name="_Toc337558768"/>
      <w:bookmarkStart w:id="192" w:name="_Toc296346567"/>
      <w:bookmarkStart w:id="193" w:name="_Toc296503066"/>
      <w:r>
        <w:rPr>
          <w:rFonts w:hint="eastAsia" w:ascii="仿宋_GB2312" w:hAnsi="仿宋_GB2312" w:eastAsia="仿宋_GB2312" w:cs="仿宋_GB2312"/>
          <w:b/>
          <w:bCs w:val="0"/>
          <w:color w:val="000000"/>
          <w:sz w:val="28"/>
          <w:szCs w:val="28"/>
        </w:rPr>
        <w:t>.1施工组织设计</w:t>
      </w:r>
      <w:bookmarkEnd w:id="190"/>
    </w:p>
    <w:bookmarkEnd w:id="191"/>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sz w:val="28"/>
          <w:szCs w:val="28"/>
        </w:rPr>
        <w:t>7.1.1</w:t>
      </w:r>
      <w:r>
        <w:rPr>
          <w:rFonts w:hint="eastAsia" w:ascii="仿宋_GB2312" w:hAnsi="仿宋_GB2312" w:eastAsia="仿宋_GB2312" w:cs="仿宋_GB2312"/>
          <w:b/>
          <w:color w:val="000000"/>
          <w:sz w:val="28"/>
          <w:szCs w:val="28"/>
        </w:rPr>
        <w:t xml:space="preserve"> </w:t>
      </w:r>
      <w:r>
        <w:rPr>
          <w:rFonts w:hint="eastAsia" w:ascii="仿宋_GB2312" w:hAnsi="仿宋_GB2312" w:eastAsia="仿宋_GB2312" w:cs="仿宋_GB2312"/>
          <w:b/>
          <w:color w:val="000000"/>
          <w:kern w:val="0"/>
          <w:sz w:val="28"/>
          <w:szCs w:val="28"/>
        </w:rPr>
        <w:t>施工组织设计的内容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施工组织设计应包含以下内容：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（1）施工方案； </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（2）施工现场平面布置图；</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（3）施工进度计划和保证措施； </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（4）劳动力及材料供应计划；</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（5）施工机械设备的选用；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（6）质量保证体系及措施；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（7）安全生产、文明施工措施；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（8）环境保护、成本控制措施；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（9）合同当事人约定的其他内容。</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sz w:val="28"/>
          <w:szCs w:val="28"/>
        </w:rPr>
        <w:t>7.1.2</w:t>
      </w:r>
      <w:r>
        <w:rPr>
          <w:rFonts w:hint="eastAsia" w:ascii="仿宋_GB2312" w:hAnsi="仿宋_GB2312" w:eastAsia="仿宋_GB2312" w:cs="仿宋_GB2312"/>
          <w:b/>
          <w:bCs/>
          <w:color w:val="000000"/>
          <w:sz w:val="28"/>
          <w:szCs w:val="28"/>
        </w:rPr>
        <w:t xml:space="preserve"> </w:t>
      </w:r>
      <w:r>
        <w:rPr>
          <w:rFonts w:hint="eastAsia" w:ascii="仿宋_GB2312" w:hAnsi="仿宋_GB2312" w:eastAsia="仿宋_GB2312" w:cs="仿宋_GB2312"/>
          <w:b/>
          <w:bCs/>
          <w:color w:val="000000"/>
          <w:kern w:val="0"/>
          <w:sz w:val="28"/>
          <w:szCs w:val="28"/>
        </w:rPr>
        <w:t>施工组织设计的提交和修改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施工进度计划的编制和修改按照第7.2款〔施工进度计划〕执行。</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94" w:name="_Toc351203544"/>
      <w:r>
        <w:rPr>
          <w:rFonts w:hint="eastAsia" w:ascii="仿宋_GB2312" w:hAnsi="仿宋_GB2312" w:eastAsia="仿宋_GB2312" w:cs="仿宋_GB2312"/>
          <w:b/>
          <w:bCs w:val="0"/>
          <w:color w:val="000000"/>
          <w:sz w:val="28"/>
          <w:szCs w:val="28"/>
        </w:rPr>
        <w:t>7</w:t>
      </w:r>
      <w:bookmarkStart w:id="195" w:name="_Toc337558769"/>
      <w:r>
        <w:rPr>
          <w:rFonts w:hint="eastAsia" w:ascii="仿宋_GB2312" w:hAnsi="仿宋_GB2312" w:eastAsia="仿宋_GB2312" w:cs="仿宋_GB2312"/>
          <w:b/>
          <w:bCs w:val="0"/>
          <w:color w:val="000000"/>
          <w:sz w:val="28"/>
          <w:szCs w:val="28"/>
        </w:rPr>
        <w:t>.2 施工进度计划</w:t>
      </w:r>
      <w:bookmarkEnd w:id="194"/>
    </w:p>
    <w:bookmarkEnd w:id="195"/>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7.2.1 施工进度计划的编制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7.2.2 施工进度计划的修订</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96" w:name="_Toc351203545"/>
      <w:r>
        <w:rPr>
          <w:rFonts w:hint="eastAsia" w:ascii="仿宋_GB2312" w:hAnsi="仿宋_GB2312" w:eastAsia="仿宋_GB2312" w:cs="仿宋_GB2312"/>
          <w:b/>
          <w:bCs w:val="0"/>
          <w:color w:val="000000"/>
          <w:sz w:val="28"/>
          <w:szCs w:val="28"/>
        </w:rPr>
        <w:t>7</w:t>
      </w:r>
      <w:bookmarkStart w:id="197" w:name="_Toc337558770"/>
      <w:r>
        <w:rPr>
          <w:rFonts w:hint="eastAsia" w:ascii="仿宋_GB2312" w:hAnsi="仿宋_GB2312" w:eastAsia="仿宋_GB2312" w:cs="仿宋_GB2312"/>
          <w:b/>
          <w:bCs w:val="0"/>
          <w:color w:val="000000"/>
          <w:sz w:val="28"/>
          <w:szCs w:val="28"/>
        </w:rPr>
        <w:t>.3 开工</w:t>
      </w:r>
      <w:bookmarkEnd w:id="196"/>
    </w:p>
    <w:p>
      <w:pPr>
        <w:spacing w:beforeLines="0" w:afterLines="0" w:line="560" w:lineRule="exact"/>
        <w:ind w:firstLine="562" w:firstLineChars="200"/>
        <w:jc w:val="left"/>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7.3.1 开工准备</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除专用合同条款另有约定外，合同当事人应按约定完成开工准备工作。</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7.3.2 开工通知</w:t>
      </w:r>
    </w:p>
    <w:bookmarkEnd w:id="197"/>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发包人应按照法律规定获得工程施工所需的许可。经发包人同意后，监理人发出的开工通知应符合法律规定。监理人应在计划开工日期7天前向承包人发出开工通知，工期自开工通知中载明的开工日期起算。</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198" w:name="_Toc351203546"/>
      <w:r>
        <w:rPr>
          <w:rFonts w:hint="eastAsia" w:ascii="仿宋_GB2312" w:hAnsi="仿宋_GB2312" w:eastAsia="仿宋_GB2312" w:cs="仿宋_GB2312"/>
          <w:b/>
          <w:bCs w:val="0"/>
          <w:color w:val="000000"/>
          <w:sz w:val="28"/>
          <w:szCs w:val="28"/>
        </w:rPr>
        <w:t>7.4测量放线</w:t>
      </w:r>
      <w:bookmarkEnd w:id="198"/>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7.4.2 承包人负责施工过程中的全部施工测量放线工作，并配置具有相应资质的人员、合格的仪器、设备和其他物品。承包人应矫正工程的位置、标高、尺寸或准线中出现的任何差错，并对工程各部分的定位负责。</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施工过程中对施工现场内水准点等测量标志物的保护工作由承包人负责。</w:t>
      </w:r>
      <w:bookmarkStart w:id="199" w:name="_Toc351203547"/>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r>
        <w:rPr>
          <w:rFonts w:hint="eastAsia" w:ascii="仿宋_GB2312" w:hAnsi="仿宋_GB2312" w:eastAsia="仿宋_GB2312" w:cs="仿宋_GB2312"/>
          <w:b/>
          <w:bCs w:val="0"/>
          <w:color w:val="000000"/>
          <w:sz w:val="28"/>
          <w:szCs w:val="28"/>
        </w:rPr>
        <w:t>7</w:t>
      </w:r>
      <w:bookmarkEnd w:id="192"/>
      <w:bookmarkEnd w:id="193"/>
      <w:bookmarkStart w:id="200" w:name="_Toc337558772"/>
      <w:bookmarkStart w:id="201" w:name="_Toc296503073"/>
      <w:bookmarkStart w:id="202" w:name="_Toc296346574"/>
      <w:r>
        <w:rPr>
          <w:rFonts w:hint="eastAsia" w:ascii="仿宋_GB2312" w:hAnsi="仿宋_GB2312" w:eastAsia="仿宋_GB2312" w:cs="仿宋_GB2312"/>
          <w:b/>
          <w:bCs w:val="0"/>
          <w:color w:val="000000"/>
          <w:sz w:val="28"/>
          <w:szCs w:val="28"/>
        </w:rPr>
        <w:t>.5 工期延误</w:t>
      </w:r>
      <w:bookmarkEnd w:id="199"/>
    </w:p>
    <w:bookmarkEnd w:id="200"/>
    <w:bookmarkEnd w:id="201"/>
    <w:bookmarkEnd w:id="202"/>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7.5.1 因发包人原因导致工期延误</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在合同履行过程中，因下列情况导致工期延误和（或）费用增加的，由发包人承担由此延误的工期和（或）增加的费用，且发包人应支付承包人合理的利润： </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（1）发包人未能按合同约定提供图纸或所提供图纸不符合合同约定的；</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（2）发包人未能按合同约定提供施工现场、施工条件、基础资料、许可、批准等开工条件的；</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（3）发包人提供的测量基准点、基准线和水准点及其书面资料存在错误或疏漏的；</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（4）发包人未能在计划开工日期之日起7天内同意下达开工通知的；</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（5）发包人未能按合同约定日期支付工程预付款、进度款或竣工结算款的；</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（6）监理人未按合同约定发出指示、批准等文件的；</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（7）专用合同条款中约定的其他情形。</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rPr>
        <w:t>7.5.2 因承包人原因导致工期延误</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bookmarkStart w:id="203" w:name="_Toc296346577"/>
      <w:bookmarkStart w:id="204" w:name="_Toc296503076"/>
      <w:r>
        <w:rPr>
          <w:rFonts w:hint="eastAsia" w:ascii="仿宋_GB2312" w:hAnsi="仿宋_GB2312" w:eastAsia="仿宋_GB2312" w:cs="仿宋_GB2312"/>
          <w:color w:val="000000"/>
          <w:kern w:val="0"/>
          <w:sz w:val="28"/>
          <w:szCs w:val="28"/>
        </w:rPr>
        <w:t>因</w:t>
      </w:r>
      <w:bookmarkEnd w:id="203"/>
      <w:bookmarkEnd w:id="204"/>
      <w:r>
        <w:rPr>
          <w:rFonts w:hint="eastAsia" w:ascii="仿宋_GB2312" w:hAnsi="仿宋_GB2312" w:eastAsia="仿宋_GB2312" w:cs="仿宋_GB2312"/>
          <w:color w:val="000000"/>
          <w:kern w:val="0"/>
          <w:sz w:val="28"/>
          <w:szCs w:val="28"/>
        </w:rPr>
        <w:t>承包人原因造成工期延误的，可以在专用合同条款中约定逾期竣工违约金的计算方法和逾期竣工违约金的上限。承包人支付逾期竣工违约金后，不免除承包人继续完成工程及修补缺陷的义务。</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05" w:name="_Toc351203548"/>
      <w:r>
        <w:rPr>
          <w:rFonts w:hint="eastAsia" w:ascii="仿宋_GB2312" w:hAnsi="仿宋_GB2312" w:eastAsia="仿宋_GB2312" w:cs="仿宋_GB2312"/>
          <w:b/>
          <w:bCs w:val="0"/>
          <w:color w:val="000000"/>
          <w:sz w:val="28"/>
          <w:szCs w:val="28"/>
        </w:rPr>
        <w:t>7</w:t>
      </w:r>
      <w:bookmarkStart w:id="206" w:name="_Toc337558773"/>
      <w:bookmarkStart w:id="207" w:name="_Toc296503074"/>
      <w:bookmarkStart w:id="208" w:name="_Toc296346575"/>
      <w:bookmarkStart w:id="209" w:name="_Toc296346578"/>
      <w:bookmarkStart w:id="210" w:name="_Toc296503077"/>
      <w:r>
        <w:rPr>
          <w:rFonts w:hint="eastAsia" w:ascii="仿宋_GB2312" w:hAnsi="仿宋_GB2312" w:eastAsia="仿宋_GB2312" w:cs="仿宋_GB2312"/>
          <w:b/>
          <w:bCs w:val="0"/>
          <w:color w:val="000000"/>
          <w:sz w:val="28"/>
          <w:szCs w:val="28"/>
        </w:rPr>
        <w:t>.6 不利物质条件</w:t>
      </w:r>
      <w:bookmarkEnd w:id="205"/>
    </w:p>
    <w:bookmarkEnd w:id="206"/>
    <w:bookmarkEnd w:id="207"/>
    <w:bookmarkEnd w:id="208"/>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不利物质条件是指有经验的承包人在施工现场遇到的不可预见的自然物质条件、非自然的物质障碍和污染物，包括地表以下物质条件和水文条件以及专用合同条款约定的其他情形，但不包括气候条件。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11" w:name="_Toc351203549"/>
      <w:r>
        <w:rPr>
          <w:rFonts w:hint="eastAsia" w:ascii="仿宋_GB2312" w:hAnsi="仿宋_GB2312" w:eastAsia="仿宋_GB2312" w:cs="仿宋_GB2312"/>
          <w:b/>
          <w:bCs w:val="0"/>
          <w:color w:val="000000"/>
          <w:sz w:val="28"/>
          <w:szCs w:val="28"/>
        </w:rPr>
        <w:t>7</w:t>
      </w:r>
      <w:bookmarkStart w:id="212" w:name="_Toc337558774"/>
      <w:bookmarkStart w:id="213" w:name="_Toc296503075"/>
      <w:bookmarkStart w:id="214" w:name="_Toc296346576"/>
      <w:r>
        <w:rPr>
          <w:rFonts w:hint="eastAsia" w:ascii="仿宋_GB2312" w:hAnsi="仿宋_GB2312" w:eastAsia="仿宋_GB2312" w:cs="仿宋_GB2312"/>
          <w:b/>
          <w:bCs w:val="0"/>
          <w:color w:val="000000"/>
          <w:sz w:val="28"/>
          <w:szCs w:val="28"/>
        </w:rPr>
        <w:t>.7 异常恶劣的气候条件</w:t>
      </w:r>
      <w:bookmarkEnd w:id="211"/>
    </w:p>
    <w:bookmarkEnd w:id="212"/>
    <w:bookmarkEnd w:id="213"/>
    <w:bookmarkEnd w:id="214"/>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15" w:name="_Toc351203550"/>
    </w:p>
    <w:p>
      <w:pPr>
        <w:autoSpaceDE w:val="0"/>
        <w:autoSpaceDN w:val="0"/>
        <w:adjustRightInd w:val="0"/>
        <w:spacing w:beforeLines="0" w:afterLines="0" w:line="560" w:lineRule="exact"/>
        <w:ind w:firstLine="0" w:firstLineChars="0"/>
        <w:jc w:val="left"/>
        <w:outlineLvl w:val="0"/>
        <w:rPr>
          <w:rFonts w:hint="eastAsia" w:ascii="仿宋_GB2312" w:hAnsi="仿宋_GB2312" w:eastAsia="仿宋_GB2312" w:cs="仿宋_GB2312"/>
          <w:b/>
          <w:bCs w:val="0"/>
          <w:color w:val="000000"/>
          <w:sz w:val="28"/>
          <w:szCs w:val="28"/>
        </w:rPr>
      </w:pPr>
      <w:r>
        <w:rPr>
          <w:rFonts w:hint="eastAsia" w:ascii="仿宋_GB2312" w:hAnsi="仿宋_GB2312" w:eastAsia="仿宋_GB2312" w:cs="仿宋_GB2312"/>
          <w:b/>
          <w:bCs w:val="0"/>
          <w:color w:val="000000"/>
          <w:sz w:val="28"/>
          <w:szCs w:val="28"/>
        </w:rPr>
        <w:t>7</w:t>
      </w:r>
      <w:bookmarkStart w:id="216" w:name="_Toc337558775"/>
      <w:r>
        <w:rPr>
          <w:rFonts w:hint="eastAsia" w:ascii="仿宋_GB2312" w:hAnsi="仿宋_GB2312" w:eastAsia="仿宋_GB2312" w:cs="仿宋_GB2312"/>
          <w:b/>
          <w:bCs w:val="0"/>
          <w:color w:val="000000"/>
          <w:sz w:val="28"/>
          <w:szCs w:val="28"/>
        </w:rPr>
        <w:t>.8 暂停施工</w:t>
      </w:r>
      <w:bookmarkEnd w:id="215"/>
    </w:p>
    <w:bookmarkEnd w:id="209"/>
    <w:bookmarkEnd w:id="210"/>
    <w:bookmarkEnd w:id="216"/>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7.8.1发包人原因引起的暂停施工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因发包人原因引起暂停施工的，监理人经发包人同意后，应及时下达暂停施工指示。情况紧急且监理人未及时下达暂停施工指示的，按照第7.8.4项〔紧急情况下的暂停施工〕执行。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因发包人原因引起的暂停施工，发包人应承担由此增加的费用和（或）延误的工期，</w:t>
      </w:r>
      <w:r>
        <w:rPr>
          <w:rFonts w:hint="eastAsia" w:ascii="仿宋_GB2312" w:hAnsi="仿宋_GB2312" w:eastAsia="仿宋_GB2312" w:cs="仿宋_GB2312"/>
          <w:kern w:val="0"/>
          <w:sz w:val="28"/>
          <w:szCs w:val="28"/>
        </w:rPr>
        <w:t>并支付承包人</w:t>
      </w:r>
      <w:r>
        <w:rPr>
          <w:rFonts w:hint="eastAsia" w:ascii="仿宋_GB2312" w:hAnsi="仿宋_GB2312" w:eastAsia="仿宋_GB2312" w:cs="仿宋_GB2312"/>
          <w:color w:val="000000"/>
          <w:kern w:val="0"/>
          <w:sz w:val="28"/>
          <w:szCs w:val="28"/>
        </w:rPr>
        <w:t>合理的利润。</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7.8.2 承包人原因引起的暂停施工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7.8.3 指示暂停施工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监理人认为有必要时，并经发包人批准后，可向承包人作出暂停施工的指示，承包人应按监理人指示暂停施工。</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7.8.4 紧急情况下的暂停施工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7.8.5 暂停施工后的复工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承包人无故拖延和拒绝复工的，承包人承担由此增加的费用和（或）延误的工期；因发包人原因无法按时复工的，按照第7.5.1项〔因发包人原因导致工期延误〕约定办理。</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7.8.6 暂停施工持续56天以上</w:t>
      </w:r>
    </w:p>
    <w:p>
      <w:pPr>
        <w:spacing w:beforeLines="0" w:afterLines="0" w:line="560" w:lineRule="exact"/>
        <w:ind w:firstLine="546" w:firstLineChars="195"/>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pPr>
        <w:spacing w:beforeLines="0" w:afterLines="0" w:line="560" w:lineRule="exact"/>
        <w:ind w:firstLine="546" w:firstLineChars="195"/>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pPr>
        <w:spacing w:beforeLines="0" w:afterLines="0" w:line="560" w:lineRule="exact"/>
        <w:ind w:left="16" w:firstLine="548" w:firstLineChars="195"/>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7.8.7 暂停施工期间的工程照管</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暂停施工期间，承包人应负责妥善照管工程并提供安全保障，由此增加的费用由责任方承担。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7.8.8 暂停施工的措施</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暂停施工期间，发包人和承包人均应采取必要的措施确保工程质量及安全，防止因暂停施工扩大损失。</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17" w:name="_Toc351203551"/>
      <w:r>
        <w:rPr>
          <w:rFonts w:hint="eastAsia" w:ascii="仿宋_GB2312" w:hAnsi="仿宋_GB2312" w:eastAsia="仿宋_GB2312" w:cs="仿宋_GB2312"/>
          <w:b/>
          <w:bCs w:val="0"/>
          <w:color w:val="000000"/>
          <w:sz w:val="28"/>
          <w:szCs w:val="28"/>
        </w:rPr>
        <w:t>7.9提前竣工</w:t>
      </w:r>
      <w:bookmarkEnd w:id="217"/>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7.9.2 发包人要求承包人提前竣工，或承包人提出提前竣工的建议能够给发包人带来效益的，合同当事人可以在专用合同条款中约定提前竣工的奖励。</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218" w:name="_Toc351203552"/>
      <w:r>
        <w:rPr>
          <w:rFonts w:hint="eastAsia" w:ascii="仿宋_GB2312" w:hAnsi="仿宋_GB2312" w:eastAsia="仿宋_GB2312" w:cs="仿宋_GB2312"/>
          <w:b/>
          <w:bCs w:val="0"/>
          <w:color w:val="000000"/>
          <w:sz w:val="28"/>
          <w:szCs w:val="28"/>
        </w:rPr>
        <w:t>8</w:t>
      </w:r>
      <w:bookmarkStart w:id="219" w:name="_Toc296503058"/>
      <w:bookmarkStart w:id="220" w:name="_Toc296346559"/>
      <w:bookmarkStart w:id="221" w:name="_Toc337558776"/>
      <w:r>
        <w:rPr>
          <w:rFonts w:hint="eastAsia" w:ascii="仿宋_GB2312" w:hAnsi="仿宋_GB2312" w:eastAsia="仿宋_GB2312" w:cs="仿宋_GB2312"/>
          <w:b/>
          <w:bCs w:val="0"/>
          <w:color w:val="000000"/>
          <w:sz w:val="28"/>
          <w:szCs w:val="28"/>
        </w:rPr>
        <w:t>. 材料与设备</w:t>
      </w:r>
      <w:bookmarkEnd w:id="218"/>
    </w:p>
    <w:bookmarkEnd w:id="219"/>
    <w:bookmarkEnd w:id="220"/>
    <w:bookmarkEnd w:id="221"/>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22" w:name="_Toc351203553"/>
      <w:r>
        <w:rPr>
          <w:rFonts w:hint="eastAsia" w:ascii="仿宋_GB2312" w:hAnsi="仿宋_GB2312" w:eastAsia="仿宋_GB2312" w:cs="仿宋_GB2312"/>
          <w:b/>
          <w:bCs w:val="0"/>
          <w:color w:val="000000"/>
          <w:sz w:val="28"/>
          <w:szCs w:val="28"/>
        </w:rPr>
        <w:t>8</w:t>
      </w:r>
      <w:bookmarkStart w:id="223" w:name="_Toc296346560"/>
      <w:bookmarkStart w:id="224" w:name="_Toc337558777"/>
      <w:bookmarkStart w:id="225" w:name="_Toc296503059"/>
      <w:bookmarkStart w:id="226" w:name="_Toc468936960"/>
      <w:r>
        <w:rPr>
          <w:rFonts w:hint="eastAsia" w:ascii="仿宋_GB2312" w:hAnsi="仿宋_GB2312" w:eastAsia="仿宋_GB2312" w:cs="仿宋_GB2312"/>
          <w:b/>
          <w:bCs w:val="0"/>
          <w:color w:val="000000"/>
          <w:sz w:val="28"/>
          <w:szCs w:val="28"/>
        </w:rPr>
        <w:t>.1发包人供应材料与工程设备</w:t>
      </w:r>
      <w:bookmarkEnd w:id="222"/>
    </w:p>
    <w:bookmarkEnd w:id="223"/>
    <w:bookmarkEnd w:id="224"/>
    <w:bookmarkEnd w:id="225"/>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发包人自行供应材料、工程设备的，应在签订合同时在专用合同条款的附件《发包人供应材料设备一览表》中明确材料、工程设备的品种、规格、型号、数量、单价、质量等级和送达地点。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pPr>
        <w:pStyle w:val="6"/>
        <w:spacing w:before="0" w:after="0" w:line="560" w:lineRule="exact"/>
        <w:ind w:firstLine="0" w:firstLineChars="0"/>
        <w:jc w:val="left"/>
        <w:rPr>
          <w:rFonts w:hint="eastAsia" w:ascii="仿宋_GB2312" w:hAnsi="仿宋_GB2312" w:eastAsia="仿宋_GB2312" w:cs="仿宋_GB2312"/>
          <w:bCs w:val="0"/>
          <w:color w:val="000000"/>
          <w:sz w:val="28"/>
          <w:szCs w:val="28"/>
        </w:rPr>
      </w:pPr>
      <w:bookmarkStart w:id="227" w:name="_Toc351203554"/>
      <w:r>
        <w:rPr>
          <w:rFonts w:hint="eastAsia" w:ascii="仿宋_GB2312" w:hAnsi="仿宋_GB2312" w:eastAsia="仿宋_GB2312" w:cs="仿宋_GB2312"/>
          <w:b/>
          <w:bCs w:val="0"/>
          <w:color w:val="000000"/>
          <w:sz w:val="28"/>
          <w:szCs w:val="28"/>
        </w:rPr>
        <w:t>8</w:t>
      </w:r>
      <w:bookmarkStart w:id="228" w:name="_Toc296503060"/>
      <w:bookmarkStart w:id="229" w:name="_Toc296346561"/>
      <w:bookmarkStart w:id="230" w:name="_Toc337558778"/>
      <w:r>
        <w:rPr>
          <w:rFonts w:hint="eastAsia" w:ascii="仿宋_GB2312" w:hAnsi="仿宋_GB2312" w:eastAsia="仿宋_GB2312" w:cs="仿宋_GB2312"/>
          <w:b/>
          <w:bCs w:val="0"/>
          <w:color w:val="000000"/>
          <w:sz w:val="28"/>
          <w:szCs w:val="28"/>
        </w:rPr>
        <w:t>.2承包人采购材料与工程设备</w:t>
      </w:r>
      <w:bookmarkEnd w:id="227"/>
    </w:p>
    <w:bookmarkEnd w:id="228"/>
    <w:bookmarkEnd w:id="229"/>
    <w:bookmarkEnd w:id="230"/>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31" w:name="_Toc351203555"/>
      <w:r>
        <w:rPr>
          <w:rFonts w:hint="eastAsia" w:ascii="仿宋_GB2312" w:hAnsi="仿宋_GB2312" w:eastAsia="仿宋_GB2312" w:cs="仿宋_GB2312"/>
          <w:b/>
          <w:bCs w:val="0"/>
          <w:color w:val="000000"/>
          <w:sz w:val="28"/>
          <w:szCs w:val="28"/>
        </w:rPr>
        <w:t>8</w:t>
      </w:r>
      <w:bookmarkStart w:id="232" w:name="_Toc296346562"/>
      <w:bookmarkStart w:id="233" w:name="_Toc337558779"/>
      <w:bookmarkStart w:id="234" w:name="_Toc296503061"/>
      <w:r>
        <w:rPr>
          <w:rFonts w:hint="eastAsia" w:ascii="仿宋_GB2312" w:hAnsi="仿宋_GB2312" w:eastAsia="仿宋_GB2312" w:cs="仿宋_GB2312"/>
          <w:b/>
          <w:bCs w:val="0"/>
          <w:color w:val="000000"/>
          <w:sz w:val="28"/>
          <w:szCs w:val="28"/>
        </w:rPr>
        <w:t>.3材料与工程设备的接收与拒收</w:t>
      </w:r>
      <w:bookmarkEnd w:id="231"/>
    </w:p>
    <w:bookmarkEnd w:id="232"/>
    <w:bookmarkEnd w:id="233"/>
    <w:bookmarkEnd w:id="234"/>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发包人提供的材料和工程设备的规格、数量或质量不符合合同约定的，或因发包人原因导致交货日期延误或交货地点变更等情况的，按照第16.1款〔发包人违约〕约定办理。</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8.3.2 承包人采购的材料和工程设备，应保证产品质量合格，承包人应在材料和工程设备到货前24小时通知监理人检验。承</w:t>
      </w:r>
      <w:bookmarkStart w:id="235" w:name="_Toc250655469"/>
      <w:r>
        <w:rPr>
          <w:rFonts w:hint="eastAsia" w:ascii="仿宋_GB2312" w:hAnsi="仿宋_GB2312" w:eastAsia="仿宋_GB2312" w:cs="仿宋_GB2312"/>
          <w:color w:val="000000"/>
          <w:kern w:val="0"/>
          <w:sz w:val="28"/>
          <w:szCs w:val="28"/>
        </w:rPr>
        <w:t>包人进行永久设备、材料的制造和生产的，应符合相关质量标准，并向监理人提交材料的样本以及有关资料，并应在使用该材料或工程设备之前获得监理人同意。</w:t>
      </w:r>
    </w:p>
    <w:bookmarkEnd w:id="235"/>
    <w:p>
      <w:pPr>
        <w:autoSpaceDE w:val="0"/>
        <w:autoSpaceDN w:val="0"/>
        <w:adjustRightInd w:val="0"/>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36" w:name="_Toc351203556"/>
      <w:r>
        <w:rPr>
          <w:rFonts w:hint="eastAsia" w:ascii="仿宋_GB2312" w:hAnsi="仿宋_GB2312" w:eastAsia="仿宋_GB2312" w:cs="仿宋_GB2312"/>
          <w:b/>
          <w:bCs w:val="0"/>
          <w:color w:val="000000"/>
          <w:sz w:val="28"/>
          <w:szCs w:val="28"/>
        </w:rPr>
        <w:t>8</w:t>
      </w:r>
      <w:bookmarkStart w:id="237" w:name="_Toc337558780"/>
      <w:bookmarkStart w:id="238" w:name="_Toc296346563"/>
      <w:bookmarkStart w:id="239" w:name="_Toc296503062"/>
      <w:r>
        <w:rPr>
          <w:rFonts w:hint="eastAsia" w:ascii="仿宋_GB2312" w:hAnsi="仿宋_GB2312" w:eastAsia="仿宋_GB2312" w:cs="仿宋_GB2312"/>
          <w:b/>
          <w:bCs w:val="0"/>
          <w:color w:val="000000"/>
          <w:sz w:val="28"/>
          <w:szCs w:val="28"/>
        </w:rPr>
        <w:t>.4材料与工程设备的保管与使用</w:t>
      </w:r>
      <w:bookmarkEnd w:id="236"/>
    </w:p>
    <w:bookmarkEnd w:id="237"/>
    <w:bookmarkEnd w:id="238"/>
    <w:bookmarkEnd w:id="239"/>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8.4.1 发包人供应</w:t>
      </w:r>
      <w:r>
        <w:rPr>
          <w:rFonts w:hint="eastAsia" w:ascii="仿宋_GB2312" w:hAnsi="仿宋_GB2312" w:eastAsia="仿宋_GB2312" w:cs="仿宋_GB2312"/>
          <w:b/>
          <w:bCs/>
          <w:color w:val="000000"/>
          <w:sz w:val="28"/>
          <w:szCs w:val="28"/>
        </w:rPr>
        <w:t>材料与</w:t>
      </w:r>
      <w:r>
        <w:rPr>
          <w:rFonts w:hint="eastAsia" w:ascii="仿宋_GB2312" w:hAnsi="仿宋_GB2312" w:eastAsia="仿宋_GB2312" w:cs="仿宋_GB2312"/>
          <w:b/>
          <w:bCs/>
          <w:color w:val="000000"/>
          <w:kern w:val="0"/>
          <w:sz w:val="28"/>
          <w:szCs w:val="28"/>
        </w:rPr>
        <w:t>工程</w:t>
      </w:r>
      <w:r>
        <w:rPr>
          <w:rFonts w:hint="eastAsia" w:ascii="仿宋_GB2312" w:hAnsi="仿宋_GB2312" w:eastAsia="仿宋_GB2312" w:cs="仿宋_GB2312"/>
          <w:b/>
          <w:bCs/>
          <w:color w:val="000000"/>
          <w:sz w:val="28"/>
          <w:szCs w:val="28"/>
        </w:rPr>
        <w:t>设备的保管与使用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发包人供应的材料和工程设备使用前，由承包人负责检验，检验费用由发包人承担，不合格的不得使用。</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8.4.2 承包人采购</w:t>
      </w:r>
      <w:r>
        <w:rPr>
          <w:rFonts w:hint="eastAsia" w:ascii="仿宋_GB2312" w:hAnsi="仿宋_GB2312" w:eastAsia="仿宋_GB2312" w:cs="仿宋_GB2312"/>
          <w:b/>
          <w:bCs/>
          <w:color w:val="000000"/>
          <w:sz w:val="28"/>
          <w:szCs w:val="28"/>
        </w:rPr>
        <w:t>材料与</w:t>
      </w:r>
      <w:r>
        <w:rPr>
          <w:rFonts w:hint="eastAsia" w:ascii="仿宋_GB2312" w:hAnsi="仿宋_GB2312" w:eastAsia="仿宋_GB2312" w:cs="仿宋_GB2312"/>
          <w:b/>
          <w:bCs/>
          <w:color w:val="000000"/>
          <w:kern w:val="0"/>
          <w:sz w:val="28"/>
          <w:szCs w:val="28"/>
        </w:rPr>
        <w:t>工程</w:t>
      </w:r>
      <w:r>
        <w:rPr>
          <w:rFonts w:hint="eastAsia" w:ascii="仿宋_GB2312" w:hAnsi="仿宋_GB2312" w:eastAsia="仿宋_GB2312" w:cs="仿宋_GB2312"/>
          <w:b/>
          <w:bCs/>
          <w:color w:val="000000"/>
          <w:sz w:val="28"/>
          <w:szCs w:val="28"/>
        </w:rPr>
        <w:t>设备的保管与使用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发包人或监理人发现承包人使用不符合设计或有关标准要求的材料和工程设备时，有权要求承包人进行修复、拆除或重新采购，由此增加的费用和（或）延误的工期，由承包人承担。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40" w:name="_Toc351203557"/>
      <w:r>
        <w:rPr>
          <w:rFonts w:hint="eastAsia" w:ascii="仿宋_GB2312" w:hAnsi="仿宋_GB2312" w:eastAsia="仿宋_GB2312" w:cs="仿宋_GB2312"/>
          <w:b/>
          <w:bCs w:val="0"/>
          <w:color w:val="000000"/>
          <w:sz w:val="28"/>
          <w:szCs w:val="28"/>
        </w:rPr>
        <w:t>8.5禁止使用不合格的材料和工程设备</w:t>
      </w:r>
      <w:bookmarkEnd w:id="240"/>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8.5.1 监理人有权拒绝承包人提供的不合格材料或工程设备，并要求承包人立即进行更换。监理人应在更换后再次进行检查和检验，由此增加的费用和（或）延误的工期由承包人承担。</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8.5.2 监理人发现承包人使用了不合格的材料和工程设备，承包人应按照监理人的指示立即改正，并禁止在工程中继续使用不合格的材料和工程设备。</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8.5.3 发包人提供的材料或工程设备不符合合同要求的，承包人有权拒绝，并可要求发包人更换，由此增加的费用和（或）延误的工期由发包人承担，并支付承包人合理的利润。</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41" w:name="_Toc351203558"/>
      <w:r>
        <w:rPr>
          <w:rFonts w:hint="eastAsia" w:ascii="仿宋_GB2312" w:hAnsi="仿宋_GB2312" w:eastAsia="仿宋_GB2312" w:cs="仿宋_GB2312"/>
          <w:b/>
          <w:bCs w:val="0"/>
          <w:color w:val="000000"/>
          <w:sz w:val="28"/>
          <w:szCs w:val="28"/>
        </w:rPr>
        <w:t>8.6 样品</w:t>
      </w:r>
      <w:bookmarkEnd w:id="241"/>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8.6.1样品的报送与封存</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需要承包人报送样品的材料或工程设备，样品的种类、名称、规格、数量等要求均应在专用合同条款中约定。样品的报送程序如下：</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（3）经发包人和监理人审批确认的样品应按约定的方法封样，封存的样品作为检验工程相关部分的标准之一。承包人在施工过程中不得使用与样品不符的材料或工程设备。</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8.6.2 样品的保管</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经批准的样品应由监理人负责封存于现场，承包人应在现场为保存样品提供适当和固定的场所并保持适当和良好的存储环境条件。</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42" w:name="_Toc351203559"/>
      <w:r>
        <w:rPr>
          <w:rFonts w:hint="eastAsia" w:ascii="仿宋_GB2312" w:hAnsi="仿宋_GB2312" w:eastAsia="仿宋_GB2312" w:cs="仿宋_GB2312"/>
          <w:b/>
          <w:bCs w:val="0"/>
          <w:color w:val="000000"/>
          <w:sz w:val="28"/>
          <w:szCs w:val="28"/>
        </w:rPr>
        <w:t>8.7材料与工程设备的替代</w:t>
      </w:r>
      <w:bookmarkEnd w:id="242"/>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8.7.1 出现下列情况需要使用替代材料和工程设备的，承包人应按照第8.7.2项约定的程序执行：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（1）基准日期后生效的法律规定禁止使用的；</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（2）发包人要求使用替代品的；</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（3）因其他原因必须使用替代品的。</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8.7.2 承包人应在使用替代材料和工程设备28天前书面通知监理人，并附下列文件：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（1）被替代的材料和工程设备的名称、数量、规格、型号、品牌、性能、价格及其他相关资料；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（2）替代品的名称、数量、规格、型号、品牌、性能、价格及其他相关资料；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（3）替代品与被替代产品之间的差异以及使用替代品可能对工程产生的影响；</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（4）替代品与被替代产品的价格差异；</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（5）使用替代品的理由和原因说明；</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（6）监理人要求的其他文件。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监理人应在收到通知后14天内向承包人发出经发包人签认的书面指示；监理人逾期发出书面指示的，视为发包人和监理人同意使用替代品。</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43" w:name="_Toc351203560"/>
      <w:r>
        <w:rPr>
          <w:rFonts w:hint="eastAsia" w:ascii="仿宋_GB2312" w:hAnsi="仿宋_GB2312" w:eastAsia="仿宋_GB2312" w:cs="仿宋_GB2312"/>
          <w:b/>
          <w:bCs w:val="0"/>
          <w:color w:val="000000"/>
          <w:sz w:val="28"/>
          <w:szCs w:val="28"/>
        </w:rPr>
        <w:t>8.8施工设备和临时设施</w:t>
      </w:r>
      <w:bookmarkEnd w:id="243"/>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8.8.1 承包人提供的施工设备和临时设施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承包人应按合同进度计划的要求，及时配置施工设备和修建临时设施。进入施工场地的承包人设备需经监理人核查后才能投入使用。承包人更换合同约定的承包人设备的，应报监理人批准。</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除专用合同条款另有约定外，承包人应自行承担修建临时设施的费用，需要临时占地的，应由发包人办理申请手续并承担相应费用。</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8.8.2发包人提供的施工设备和临时设施</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发包人提供的施工设备或临时设施在专用合同条款中约定。</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8.8.3要求承包人增加或更换施工设备</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承包人使用的施工设备不能满足合同进度计划和（或）质量要求时，监理人有权要求承包人增加或更换施工设备，承包人应及时增加或更换，由此增加的费用和（或）延误的工期由承包人承担。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44" w:name="_Toc351203561"/>
      <w:r>
        <w:rPr>
          <w:rFonts w:hint="eastAsia" w:ascii="仿宋_GB2312" w:hAnsi="仿宋_GB2312" w:eastAsia="仿宋_GB2312" w:cs="仿宋_GB2312"/>
          <w:b/>
          <w:bCs w:val="0"/>
          <w:color w:val="000000"/>
          <w:sz w:val="28"/>
          <w:szCs w:val="28"/>
        </w:rPr>
        <w:t>8</w:t>
      </w:r>
      <w:bookmarkStart w:id="245" w:name="_Toc337558781"/>
      <w:bookmarkStart w:id="246" w:name="_Toc296346564"/>
      <w:bookmarkStart w:id="247" w:name="_Toc296503063"/>
      <w:r>
        <w:rPr>
          <w:rFonts w:hint="eastAsia" w:ascii="仿宋_GB2312" w:hAnsi="仿宋_GB2312" w:eastAsia="仿宋_GB2312" w:cs="仿宋_GB2312"/>
          <w:b/>
          <w:bCs w:val="0"/>
          <w:color w:val="000000"/>
          <w:sz w:val="28"/>
          <w:szCs w:val="28"/>
        </w:rPr>
        <w:t>.9材料与设备专用</w:t>
      </w:r>
      <w:bookmarkEnd w:id="244"/>
      <w:r>
        <w:rPr>
          <w:rFonts w:hint="eastAsia" w:ascii="仿宋_GB2312" w:hAnsi="仿宋_GB2312" w:eastAsia="仿宋_GB2312" w:cs="仿宋_GB2312"/>
          <w:b/>
          <w:bCs w:val="0"/>
          <w:color w:val="000000"/>
          <w:sz w:val="28"/>
          <w:szCs w:val="28"/>
        </w:rPr>
        <w:t>要求</w:t>
      </w:r>
    </w:p>
    <w:bookmarkEnd w:id="245"/>
    <w:bookmarkEnd w:id="246"/>
    <w:bookmarkEnd w:id="247"/>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承包人运入施工现场的材料、工程设备、施工设备以及在施工场地建设的临时设施，包括备品备件、安装工具与资料，必须专用于工程。未经发包人批准，承包人不得运出施工现场或挪作他用；</w:t>
      </w:r>
      <w:bookmarkEnd w:id="226"/>
      <w:r>
        <w:rPr>
          <w:rFonts w:hint="eastAsia" w:ascii="仿宋_GB2312" w:hAnsi="仿宋_GB2312" w:eastAsia="仿宋_GB2312" w:cs="仿宋_GB2312"/>
          <w:color w:val="000000"/>
          <w:kern w:val="0"/>
          <w:sz w:val="28"/>
          <w:szCs w:val="28"/>
        </w:rPr>
        <w:t>经发包人批准，承包人可以根据施工进度计划撤走闲置的施工设备和其他物品。</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248" w:name="_Toc351203562"/>
      <w:r>
        <w:rPr>
          <w:rFonts w:hint="eastAsia" w:ascii="仿宋_GB2312" w:hAnsi="仿宋_GB2312" w:eastAsia="仿宋_GB2312" w:cs="仿宋_GB2312"/>
          <w:b/>
          <w:bCs w:val="0"/>
          <w:color w:val="000000"/>
          <w:sz w:val="28"/>
          <w:szCs w:val="28"/>
        </w:rPr>
        <w:t>9</w:t>
      </w:r>
      <w:bookmarkStart w:id="249" w:name="_Toc337558782"/>
      <w:bookmarkStart w:id="250" w:name="_Toc296346584"/>
      <w:bookmarkStart w:id="251" w:name="_Toc296503083"/>
      <w:r>
        <w:rPr>
          <w:rFonts w:hint="eastAsia" w:ascii="仿宋_GB2312" w:hAnsi="仿宋_GB2312" w:eastAsia="仿宋_GB2312" w:cs="仿宋_GB2312"/>
          <w:b/>
          <w:bCs w:val="0"/>
          <w:color w:val="000000"/>
          <w:sz w:val="28"/>
          <w:szCs w:val="28"/>
        </w:rPr>
        <w:t>. 试验与检验</w:t>
      </w:r>
      <w:bookmarkEnd w:id="248"/>
    </w:p>
    <w:bookmarkEnd w:id="249"/>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52" w:name="_Toc351203563"/>
      <w:r>
        <w:rPr>
          <w:rFonts w:hint="eastAsia" w:ascii="仿宋_GB2312" w:hAnsi="仿宋_GB2312" w:eastAsia="仿宋_GB2312" w:cs="仿宋_GB2312"/>
          <w:b/>
          <w:bCs w:val="0"/>
          <w:color w:val="000000"/>
          <w:sz w:val="28"/>
          <w:szCs w:val="28"/>
        </w:rPr>
        <w:t>9</w:t>
      </w:r>
      <w:bookmarkStart w:id="253" w:name="_Toc337558783"/>
      <w:r>
        <w:rPr>
          <w:rFonts w:hint="eastAsia" w:ascii="仿宋_GB2312" w:hAnsi="仿宋_GB2312" w:eastAsia="仿宋_GB2312" w:cs="仿宋_GB2312"/>
          <w:b/>
          <w:bCs w:val="0"/>
          <w:color w:val="000000"/>
          <w:sz w:val="28"/>
          <w:szCs w:val="28"/>
        </w:rPr>
        <w:t>.1试验设备与试验人员</w:t>
      </w:r>
      <w:bookmarkEnd w:id="252"/>
    </w:p>
    <w:bookmarkEnd w:id="253"/>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9.1.2 承包人应按专用合同条款的约定提供试验设备、取样装置、试验场所和试验条件，并向监理人提交相应进场计划表。</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承包人配置的试验设备要符合相应试验规程的要求并经过具有资质的检测单位检测，且在正式使用该试验设备前，需要经过监理人与承包人共同校定。</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9.1.3 承包人应向监理人提交试验人员的名单及其岗位、资格等证明资料，试验人员必须能够熟练进行相应的检测试验，承包人对试验人员的试验程序和试验结果的正确性负责。</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54" w:name="_Toc351203564"/>
      <w:r>
        <w:rPr>
          <w:rFonts w:hint="eastAsia" w:ascii="仿宋_GB2312" w:hAnsi="仿宋_GB2312" w:eastAsia="仿宋_GB2312" w:cs="仿宋_GB2312"/>
          <w:b/>
          <w:bCs w:val="0"/>
          <w:color w:val="000000"/>
          <w:sz w:val="28"/>
          <w:szCs w:val="28"/>
        </w:rPr>
        <w:t>9</w:t>
      </w:r>
      <w:bookmarkStart w:id="255" w:name="_Toc337558784"/>
      <w:r>
        <w:rPr>
          <w:rFonts w:hint="eastAsia" w:ascii="仿宋_GB2312" w:hAnsi="仿宋_GB2312" w:eastAsia="仿宋_GB2312" w:cs="仿宋_GB2312"/>
          <w:b/>
          <w:bCs w:val="0"/>
          <w:color w:val="000000"/>
          <w:sz w:val="28"/>
          <w:szCs w:val="28"/>
        </w:rPr>
        <w:t>.2取样</w:t>
      </w:r>
      <w:bookmarkEnd w:id="254"/>
    </w:p>
    <w:bookmarkEnd w:id="255"/>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试验属于自检性质的，承包人可以单独取样。试验属于监理人抽检性质的，可由监理人取样，也可由承包人的试验人员在监理人的监督下取样。</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56" w:name="_Toc351203565"/>
      <w:r>
        <w:rPr>
          <w:rFonts w:hint="eastAsia" w:ascii="仿宋_GB2312" w:hAnsi="仿宋_GB2312" w:eastAsia="仿宋_GB2312" w:cs="仿宋_GB2312"/>
          <w:b/>
          <w:bCs w:val="0"/>
          <w:color w:val="000000"/>
          <w:sz w:val="28"/>
          <w:szCs w:val="28"/>
        </w:rPr>
        <w:t>9</w:t>
      </w:r>
      <w:bookmarkStart w:id="257" w:name="_Toc337558785"/>
      <w:r>
        <w:rPr>
          <w:rFonts w:hint="eastAsia" w:ascii="仿宋_GB2312" w:hAnsi="仿宋_GB2312" w:eastAsia="仿宋_GB2312" w:cs="仿宋_GB2312"/>
          <w:b/>
          <w:bCs w:val="0"/>
          <w:color w:val="000000"/>
          <w:sz w:val="28"/>
          <w:szCs w:val="28"/>
        </w:rPr>
        <w:t>.3材料、工程设备和工程的试验和检验</w:t>
      </w:r>
      <w:bookmarkEnd w:id="256"/>
    </w:p>
    <w:bookmarkEnd w:id="257"/>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58" w:name="_Toc351203566"/>
      <w:r>
        <w:rPr>
          <w:rFonts w:hint="eastAsia" w:ascii="仿宋_GB2312" w:hAnsi="仿宋_GB2312" w:eastAsia="仿宋_GB2312" w:cs="仿宋_GB2312"/>
          <w:b/>
          <w:bCs w:val="0"/>
          <w:color w:val="000000"/>
          <w:sz w:val="28"/>
          <w:szCs w:val="28"/>
        </w:rPr>
        <w:t>9</w:t>
      </w:r>
      <w:bookmarkStart w:id="259" w:name="_Toc337558786"/>
      <w:r>
        <w:rPr>
          <w:rFonts w:hint="eastAsia" w:ascii="仿宋_GB2312" w:hAnsi="仿宋_GB2312" w:eastAsia="仿宋_GB2312" w:cs="仿宋_GB2312"/>
          <w:b/>
          <w:bCs w:val="0"/>
          <w:color w:val="000000"/>
          <w:sz w:val="28"/>
          <w:szCs w:val="28"/>
        </w:rPr>
        <w:t>.4现场工艺试验</w:t>
      </w:r>
      <w:bookmarkEnd w:id="258"/>
    </w:p>
    <w:bookmarkEnd w:id="259"/>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承包人应按合同约定或监理人指示进行现场工艺试验。对大型的现场工艺试验，监理人认为必要时，承包人应根据监理人提出的工艺试验要求，编制工艺试验措施计划，报送监理人审查。</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260" w:name="_Toc351203567"/>
      <w:r>
        <w:rPr>
          <w:rFonts w:hint="eastAsia" w:ascii="仿宋_GB2312" w:hAnsi="仿宋_GB2312" w:eastAsia="仿宋_GB2312" w:cs="仿宋_GB2312"/>
          <w:b/>
          <w:bCs w:val="0"/>
          <w:color w:val="000000"/>
          <w:sz w:val="28"/>
          <w:szCs w:val="28"/>
        </w:rPr>
        <w:t>1</w:t>
      </w:r>
      <w:bookmarkStart w:id="261" w:name="_Toc337558787"/>
      <w:r>
        <w:rPr>
          <w:rFonts w:hint="eastAsia" w:ascii="仿宋_GB2312" w:hAnsi="仿宋_GB2312" w:eastAsia="仿宋_GB2312" w:cs="仿宋_GB2312"/>
          <w:b/>
          <w:bCs w:val="0"/>
          <w:color w:val="000000"/>
          <w:sz w:val="28"/>
          <w:szCs w:val="28"/>
        </w:rPr>
        <w:t>0. 变更</w:t>
      </w:r>
      <w:bookmarkEnd w:id="250"/>
      <w:bookmarkEnd w:id="251"/>
      <w:bookmarkEnd w:id="260"/>
    </w:p>
    <w:bookmarkEnd w:id="261"/>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62" w:name="_Toc351203568"/>
      <w:r>
        <w:rPr>
          <w:rFonts w:hint="eastAsia" w:ascii="仿宋_GB2312" w:hAnsi="仿宋_GB2312" w:eastAsia="仿宋_GB2312" w:cs="仿宋_GB2312"/>
          <w:b/>
          <w:bCs w:val="0"/>
          <w:color w:val="000000"/>
          <w:sz w:val="28"/>
          <w:szCs w:val="28"/>
        </w:rPr>
        <w:t>1</w:t>
      </w:r>
      <w:bookmarkStart w:id="263" w:name="_Toc296503084"/>
      <w:bookmarkStart w:id="264" w:name="_Toc337558788"/>
      <w:bookmarkStart w:id="265" w:name="_Toc296346585"/>
      <w:r>
        <w:rPr>
          <w:rFonts w:hint="eastAsia" w:ascii="仿宋_GB2312" w:hAnsi="仿宋_GB2312" w:eastAsia="仿宋_GB2312" w:cs="仿宋_GB2312"/>
          <w:b/>
          <w:bCs w:val="0"/>
          <w:color w:val="000000"/>
          <w:sz w:val="28"/>
          <w:szCs w:val="28"/>
        </w:rPr>
        <w:t>0.1变更的范围</w:t>
      </w:r>
      <w:bookmarkEnd w:id="262"/>
    </w:p>
    <w:bookmarkEnd w:id="263"/>
    <w:bookmarkEnd w:id="264"/>
    <w:bookmarkEnd w:id="265"/>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除专用合同条款另有约定外，合同履行过程中发生以下情形的，应按照本条约定进行变更：</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（1）增加或减少合同中任何工作，或追加额外的工作；</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（2）取消合同中任何工作，但转由他人实施的工作除外；</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（3）改变合同中任何工作的质量标准或其他特性；</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（4）改变工程的基线、标高、位置和尺寸；</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（5）改变工程的时间安排或实施顺序。</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66" w:name="_Toc351203569"/>
      <w:r>
        <w:rPr>
          <w:rFonts w:hint="eastAsia" w:ascii="仿宋_GB2312" w:hAnsi="仿宋_GB2312" w:eastAsia="仿宋_GB2312" w:cs="仿宋_GB2312"/>
          <w:b/>
          <w:bCs w:val="0"/>
          <w:color w:val="000000"/>
          <w:sz w:val="28"/>
          <w:szCs w:val="28"/>
        </w:rPr>
        <w:t>1</w:t>
      </w:r>
      <w:bookmarkStart w:id="267" w:name="_Toc337558789"/>
      <w:bookmarkStart w:id="268" w:name="_Toc296346586"/>
      <w:bookmarkStart w:id="269" w:name="_Toc296503085"/>
      <w:r>
        <w:rPr>
          <w:rFonts w:hint="eastAsia" w:ascii="仿宋_GB2312" w:hAnsi="仿宋_GB2312" w:eastAsia="仿宋_GB2312" w:cs="仿宋_GB2312"/>
          <w:b/>
          <w:bCs w:val="0"/>
          <w:color w:val="000000"/>
          <w:sz w:val="28"/>
          <w:szCs w:val="28"/>
        </w:rPr>
        <w:t>0.2变更权</w:t>
      </w:r>
      <w:bookmarkEnd w:id="266"/>
    </w:p>
    <w:bookmarkEnd w:id="267"/>
    <w:bookmarkEnd w:id="268"/>
    <w:bookmarkEnd w:id="269"/>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涉及设计变更的，应由设计人提供变更后的图纸和说明。如变更超过原设计标准或批准的建设规模时，发包人应及时办理规划、设计变更等审批手续。</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70" w:name="_Toc351203570"/>
      <w:r>
        <w:rPr>
          <w:rFonts w:hint="eastAsia" w:ascii="仿宋_GB2312" w:hAnsi="仿宋_GB2312" w:eastAsia="仿宋_GB2312" w:cs="仿宋_GB2312"/>
          <w:b/>
          <w:bCs w:val="0"/>
          <w:color w:val="000000"/>
          <w:sz w:val="28"/>
          <w:szCs w:val="28"/>
        </w:rPr>
        <w:t>1</w:t>
      </w:r>
      <w:bookmarkStart w:id="271" w:name="_Toc337558790"/>
      <w:bookmarkStart w:id="272" w:name="_Toc296346587"/>
      <w:bookmarkStart w:id="273" w:name="_Toc296503086"/>
      <w:r>
        <w:rPr>
          <w:rFonts w:hint="eastAsia" w:ascii="仿宋_GB2312" w:hAnsi="仿宋_GB2312" w:eastAsia="仿宋_GB2312" w:cs="仿宋_GB2312"/>
          <w:b/>
          <w:bCs w:val="0"/>
          <w:color w:val="000000"/>
          <w:sz w:val="28"/>
          <w:szCs w:val="28"/>
        </w:rPr>
        <w:t>0.3变更程序</w:t>
      </w:r>
      <w:bookmarkEnd w:id="270"/>
    </w:p>
    <w:bookmarkEnd w:id="271"/>
    <w:bookmarkEnd w:id="272"/>
    <w:bookmarkEnd w:id="273"/>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sz w:val="28"/>
          <w:szCs w:val="28"/>
        </w:rPr>
        <w:t>10</w:t>
      </w:r>
      <w:r>
        <w:rPr>
          <w:rFonts w:hint="eastAsia" w:ascii="仿宋_GB2312" w:hAnsi="仿宋_GB2312" w:eastAsia="仿宋_GB2312" w:cs="仿宋_GB2312"/>
          <w:b/>
          <w:color w:val="000000"/>
          <w:kern w:val="0"/>
          <w:sz w:val="28"/>
          <w:szCs w:val="28"/>
        </w:rPr>
        <w:t>.3.1 发包人提出变更</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发包人提出变更的，应通过监理人向承包人发出变更指示，变更指示应说明计划变更的工程范围和变更的内容。</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10</w:t>
      </w:r>
      <w:r>
        <w:rPr>
          <w:rFonts w:hint="eastAsia" w:ascii="仿宋_GB2312" w:hAnsi="仿宋_GB2312" w:eastAsia="仿宋_GB2312" w:cs="仿宋_GB2312"/>
          <w:b/>
          <w:bCs/>
          <w:color w:val="000000"/>
          <w:kern w:val="0"/>
          <w:sz w:val="28"/>
          <w:szCs w:val="28"/>
        </w:rPr>
        <w:t>.3.2 监理人提出变更建议</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10.3.3 变更执行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74" w:name="_Toc351203571"/>
      <w:r>
        <w:rPr>
          <w:rFonts w:hint="eastAsia" w:ascii="仿宋_GB2312" w:hAnsi="仿宋_GB2312" w:eastAsia="仿宋_GB2312" w:cs="仿宋_GB2312"/>
          <w:b/>
          <w:bCs w:val="0"/>
          <w:color w:val="000000"/>
          <w:sz w:val="28"/>
          <w:szCs w:val="28"/>
        </w:rPr>
        <w:t>1</w:t>
      </w:r>
      <w:bookmarkStart w:id="275" w:name="_Toc296503087"/>
      <w:bookmarkStart w:id="276" w:name="_Toc337558791"/>
      <w:bookmarkStart w:id="277" w:name="_Toc296346588"/>
      <w:r>
        <w:rPr>
          <w:rFonts w:hint="eastAsia" w:ascii="仿宋_GB2312" w:hAnsi="仿宋_GB2312" w:eastAsia="仿宋_GB2312" w:cs="仿宋_GB2312"/>
          <w:b/>
          <w:bCs w:val="0"/>
          <w:color w:val="000000"/>
          <w:sz w:val="28"/>
          <w:szCs w:val="28"/>
        </w:rPr>
        <w:t>0.4变更估价</w:t>
      </w:r>
      <w:bookmarkEnd w:id="274"/>
    </w:p>
    <w:bookmarkEnd w:id="275"/>
    <w:bookmarkEnd w:id="276"/>
    <w:bookmarkEnd w:id="277"/>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10.4.1 变更估价原则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除专用合同条款另有约定外，变更估价按照本款约定处理：</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（1）已标价工程量清单或预算书有相同项目的，按照相同项目单价认定；</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（2）已标价工程量清单或预算书中无相同项目，但有类似项目的，参照类似项目的单价认定；</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10.4.2 变更估价程序</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因变更引起的价格调整应计入最近一期的进度款中支付。</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78" w:name="_Toc351203572"/>
      <w:r>
        <w:rPr>
          <w:rFonts w:hint="eastAsia" w:ascii="仿宋_GB2312" w:hAnsi="仿宋_GB2312" w:eastAsia="仿宋_GB2312" w:cs="仿宋_GB2312"/>
          <w:b/>
          <w:bCs w:val="0"/>
          <w:color w:val="000000"/>
          <w:sz w:val="28"/>
          <w:szCs w:val="28"/>
        </w:rPr>
        <w:t>1</w:t>
      </w:r>
      <w:bookmarkStart w:id="279" w:name="_Toc296503094"/>
      <w:bookmarkStart w:id="280" w:name="_Toc296346595"/>
      <w:bookmarkStart w:id="281" w:name="_Toc337558792"/>
      <w:r>
        <w:rPr>
          <w:rFonts w:hint="eastAsia" w:ascii="仿宋_GB2312" w:hAnsi="仿宋_GB2312" w:eastAsia="仿宋_GB2312" w:cs="仿宋_GB2312"/>
          <w:b/>
          <w:bCs w:val="0"/>
          <w:color w:val="000000"/>
          <w:sz w:val="28"/>
          <w:szCs w:val="28"/>
        </w:rPr>
        <w:t>0.5承包人的合理化建议</w:t>
      </w:r>
      <w:bookmarkEnd w:id="278"/>
    </w:p>
    <w:bookmarkEnd w:id="279"/>
    <w:bookmarkEnd w:id="280"/>
    <w:bookmarkEnd w:id="281"/>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承包人提出合理化建议的，应向监理人提交合理化建议说明，说明建议的内容和理由，以及实施该建议对合同价格和工期的影响。</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合理化建议降低了合同价格或者提高了工程经济效益的，发包人可对承包人给予奖励，奖励的方法和金额在专用合同条款中约定。</w:t>
      </w:r>
    </w:p>
    <w:p>
      <w:pPr>
        <w:pStyle w:val="6"/>
        <w:spacing w:before="0" w:after="0" w:line="560" w:lineRule="exact"/>
        <w:ind w:firstLine="0" w:firstLineChars="0"/>
        <w:jc w:val="left"/>
        <w:rPr>
          <w:rFonts w:hint="eastAsia" w:ascii="仿宋_GB2312" w:hAnsi="仿宋_GB2312" w:eastAsia="仿宋_GB2312" w:cs="仿宋_GB2312"/>
          <w:bCs w:val="0"/>
          <w:color w:val="000000"/>
          <w:sz w:val="28"/>
          <w:szCs w:val="28"/>
        </w:rPr>
      </w:pPr>
      <w:bookmarkStart w:id="282" w:name="_Toc351203573"/>
      <w:r>
        <w:rPr>
          <w:rFonts w:hint="eastAsia" w:ascii="仿宋_GB2312" w:hAnsi="仿宋_GB2312" w:eastAsia="仿宋_GB2312" w:cs="仿宋_GB2312"/>
          <w:b/>
          <w:bCs w:val="0"/>
          <w:color w:val="000000"/>
          <w:sz w:val="28"/>
          <w:szCs w:val="28"/>
        </w:rPr>
        <w:t>1</w:t>
      </w:r>
      <w:bookmarkStart w:id="283" w:name="_Toc337558793"/>
      <w:r>
        <w:rPr>
          <w:rFonts w:hint="eastAsia" w:ascii="仿宋_GB2312" w:hAnsi="仿宋_GB2312" w:eastAsia="仿宋_GB2312" w:cs="仿宋_GB2312"/>
          <w:b/>
          <w:bCs w:val="0"/>
          <w:color w:val="000000"/>
          <w:sz w:val="28"/>
          <w:szCs w:val="28"/>
        </w:rPr>
        <w:t>0.6变更引起的工期调整</w:t>
      </w:r>
      <w:bookmarkEnd w:id="282"/>
      <w:r>
        <w:rPr>
          <w:rFonts w:hint="eastAsia" w:ascii="仿宋_GB2312" w:hAnsi="仿宋_GB2312" w:eastAsia="仿宋_GB2312" w:cs="仿宋_GB2312"/>
          <w:b/>
          <w:bCs w:val="0"/>
          <w:color w:val="000000"/>
          <w:sz w:val="28"/>
          <w:szCs w:val="28"/>
        </w:rPr>
        <w:t xml:space="preserve"> </w:t>
      </w:r>
      <w:bookmarkEnd w:id="283"/>
      <w:r>
        <w:rPr>
          <w:rFonts w:hint="eastAsia" w:ascii="仿宋_GB2312" w:hAnsi="仿宋_GB2312" w:eastAsia="仿宋_GB2312" w:cs="仿宋_GB2312"/>
          <w:b/>
          <w:bCs w:val="0"/>
          <w:color w:val="000000"/>
          <w:sz w:val="28"/>
          <w:szCs w:val="28"/>
        </w:rPr>
        <w:t xml:space="preserve"> </w:t>
      </w:r>
      <w:r>
        <w:rPr>
          <w:rFonts w:hint="eastAsia" w:ascii="仿宋_GB2312" w:hAnsi="仿宋_GB2312" w:eastAsia="仿宋_GB2312" w:cs="仿宋_GB2312"/>
          <w:bCs w:val="0"/>
          <w:color w:val="000000"/>
          <w:sz w:val="28"/>
          <w:szCs w:val="28"/>
        </w:rPr>
        <w:t xml:space="preserve"> </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因变更引起工期变化的，合同当事人均可要求调整合同工期，由合同当事人按照第4.4款〔商定或确定〕并参考工程所在地的工期定额标准确定增减工期天数。</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84" w:name="_Toc351203574"/>
      <w:r>
        <w:rPr>
          <w:rFonts w:hint="eastAsia" w:ascii="仿宋_GB2312" w:hAnsi="仿宋_GB2312" w:eastAsia="仿宋_GB2312" w:cs="仿宋_GB2312"/>
          <w:b/>
          <w:bCs w:val="0"/>
          <w:color w:val="000000"/>
          <w:sz w:val="28"/>
          <w:szCs w:val="28"/>
        </w:rPr>
        <w:t>10.7暂估价</w:t>
      </w:r>
      <w:bookmarkEnd w:id="284"/>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暂估价专业分包工程、服务、材料和工程设备的明细由合同当事人在专用合同条款中约定。</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10.7.1</w:t>
      </w:r>
      <w:r>
        <w:rPr>
          <w:rFonts w:hint="eastAsia" w:ascii="仿宋_GB2312" w:hAnsi="仿宋_GB2312" w:eastAsia="仿宋_GB2312" w:cs="仿宋_GB2312"/>
          <w:b/>
          <w:bCs/>
          <w:color w:val="000000"/>
          <w:kern w:val="0"/>
          <w:sz w:val="28"/>
          <w:szCs w:val="28"/>
        </w:rPr>
        <w:t xml:space="preserve"> 依法必须招标的暂估价项目</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对于依法必须招标的暂估价项目，采取以下第1种方式确定。合同当事人也可以在专用合同条款中选择其他招标方式。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第1种方式：对于依法必须招标的暂估价项目，由承包人招标，对该暂估价项目的确认和批准按照以下约定执行：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pPr>
        <w:spacing w:beforeLines="0" w:afterLines="0" w:line="56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10.7.2</w:t>
      </w:r>
      <w:r>
        <w:rPr>
          <w:rFonts w:hint="eastAsia" w:ascii="仿宋_GB2312" w:hAnsi="仿宋_GB2312" w:eastAsia="仿宋_GB2312" w:cs="仿宋_GB2312"/>
          <w:b/>
          <w:bCs/>
          <w:color w:val="000000"/>
          <w:kern w:val="0"/>
          <w:sz w:val="28"/>
          <w:szCs w:val="28"/>
        </w:rPr>
        <w:t>不属于依法必须招标的暂估价项目</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除专用合同条款另有约定外，对于不属于依法必须招标的暂估价项目，采取以下第1种方式确定： </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第1种方式：对于不属于依法必须招标的暂估价项目，按本项约定确认和批准：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（2）发包人认为承包人确定的供应商、分包人无法满足工程质量或合同要求的，发包人可以要求承包人重新确定暂估价项目的供应商、分包人;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（3）承包人应当在签订暂估价合同后7天内，将暂估价合同副本报送发包人留存。</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第2种方式：承包人按照第10.7.1项〔依法必须招标的暂估价项目〕约定的第1种方式确定暂估价项目。</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第3种方式：</w:t>
      </w:r>
      <w:r>
        <w:rPr>
          <w:rFonts w:hint="eastAsia" w:ascii="仿宋_GB2312" w:hAnsi="仿宋_GB2312" w:eastAsia="仿宋_GB2312" w:cs="仿宋_GB2312"/>
          <w:color w:val="000000"/>
          <w:kern w:val="0"/>
          <w:sz w:val="28"/>
          <w:szCs w:val="28"/>
        </w:rPr>
        <w:t>承包人直接实施的暂估价项目</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承包人具备实施暂估价项目的资格和条件的，经发包人和承包人协商一致后，可由承包人自行实施暂估价项目，合同当事人可以在专用合同条款约定具体事项。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85" w:name="_Toc351203575"/>
      <w:r>
        <w:rPr>
          <w:rFonts w:hint="eastAsia" w:ascii="仿宋_GB2312" w:hAnsi="仿宋_GB2312" w:eastAsia="仿宋_GB2312" w:cs="仿宋_GB2312"/>
          <w:b/>
          <w:bCs w:val="0"/>
          <w:color w:val="000000"/>
          <w:sz w:val="28"/>
          <w:szCs w:val="28"/>
        </w:rPr>
        <w:t>1</w:t>
      </w:r>
      <w:bookmarkStart w:id="286" w:name="_Toc337558794"/>
      <w:bookmarkStart w:id="287" w:name="_Toc296503090"/>
      <w:bookmarkStart w:id="288" w:name="_Toc322522561"/>
      <w:bookmarkStart w:id="289" w:name="_Toc296346591"/>
      <w:r>
        <w:rPr>
          <w:rFonts w:hint="eastAsia" w:ascii="仿宋_GB2312" w:hAnsi="仿宋_GB2312" w:eastAsia="仿宋_GB2312" w:cs="仿宋_GB2312"/>
          <w:b/>
          <w:bCs w:val="0"/>
          <w:color w:val="000000"/>
          <w:sz w:val="28"/>
          <w:szCs w:val="28"/>
        </w:rPr>
        <w:t>0.8暂列金额</w:t>
      </w:r>
      <w:bookmarkEnd w:id="285"/>
    </w:p>
    <w:bookmarkEnd w:id="286"/>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暂列金额应按照发包人的要求使用，发包人的要求应通过监理人发出。合同当事人可以在专用合同条款中协商确定有关事项。</w:t>
      </w:r>
    </w:p>
    <w:bookmarkEnd w:id="287"/>
    <w:bookmarkEnd w:id="288"/>
    <w:bookmarkEnd w:id="289"/>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90" w:name="_Toc351203576"/>
      <w:r>
        <w:rPr>
          <w:rFonts w:hint="eastAsia" w:ascii="仿宋_GB2312" w:hAnsi="仿宋_GB2312" w:eastAsia="仿宋_GB2312" w:cs="仿宋_GB2312"/>
          <w:b/>
          <w:bCs w:val="0"/>
          <w:color w:val="000000"/>
          <w:sz w:val="28"/>
          <w:szCs w:val="28"/>
        </w:rPr>
        <w:t>1</w:t>
      </w:r>
      <w:bookmarkStart w:id="291" w:name="_Toc337558796"/>
      <w:bookmarkStart w:id="292" w:name="_Toc296346592"/>
      <w:bookmarkStart w:id="293" w:name="_Toc296503091"/>
      <w:r>
        <w:rPr>
          <w:rFonts w:hint="eastAsia" w:ascii="仿宋_GB2312" w:hAnsi="仿宋_GB2312" w:eastAsia="仿宋_GB2312" w:cs="仿宋_GB2312"/>
          <w:b/>
          <w:bCs w:val="0"/>
          <w:color w:val="000000"/>
          <w:sz w:val="28"/>
          <w:szCs w:val="28"/>
        </w:rPr>
        <w:t>0.9计日工</w:t>
      </w:r>
      <w:bookmarkEnd w:id="290"/>
      <w:r>
        <w:rPr>
          <w:rFonts w:hint="eastAsia" w:ascii="仿宋_GB2312" w:hAnsi="仿宋_GB2312" w:eastAsia="仿宋_GB2312" w:cs="仿宋_GB2312"/>
          <w:b/>
          <w:bCs w:val="0"/>
          <w:color w:val="000000"/>
          <w:sz w:val="28"/>
          <w:szCs w:val="28"/>
        </w:rPr>
        <w:t xml:space="preserve"> </w:t>
      </w:r>
      <w:bookmarkEnd w:id="291"/>
      <w:bookmarkEnd w:id="292"/>
      <w:bookmarkEnd w:id="293"/>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采用计日工计价的任何一项工作，承包人应在该项工作实施过程中，每天提交以下报表和有关凭证报送监理人审查：</w:t>
      </w:r>
    </w:p>
    <w:p>
      <w:pPr>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（1）工作名称、内容和数量；</w:t>
      </w:r>
    </w:p>
    <w:p>
      <w:pPr>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（2）投入该工作的所有人员的姓名、专业、工种、级别和耗用工时；</w:t>
      </w:r>
    </w:p>
    <w:p>
      <w:pPr>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（3）投入该工作的材料类别和数量；</w:t>
      </w:r>
    </w:p>
    <w:p>
      <w:pPr>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（4）投入该工作的施工设备型号、台数和耗用台时；</w:t>
      </w:r>
    </w:p>
    <w:p>
      <w:pPr>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（5）其他有关资料和凭证。</w:t>
      </w:r>
    </w:p>
    <w:p>
      <w:pPr>
        <w:spacing w:beforeLines="0" w:afterLines="0" w:line="560" w:lineRule="exact"/>
        <w:ind w:firstLine="420" w:firstLineChars="1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计日工由承包人汇总后，列入最近一期进度付款申请单，由监理人审查并经发包人批准后列入进度付款。</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294" w:name="_Toc351203577"/>
      <w:r>
        <w:rPr>
          <w:rFonts w:hint="eastAsia" w:ascii="仿宋_GB2312" w:hAnsi="仿宋_GB2312" w:eastAsia="仿宋_GB2312" w:cs="仿宋_GB2312"/>
          <w:b/>
          <w:bCs w:val="0"/>
          <w:color w:val="000000"/>
          <w:sz w:val="28"/>
          <w:szCs w:val="28"/>
        </w:rPr>
        <w:t>11. 价格调整</w:t>
      </w:r>
      <w:bookmarkEnd w:id="294"/>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295" w:name="_Toc351203578"/>
      <w:bookmarkStart w:id="296" w:name="_Toc296346593"/>
      <w:bookmarkStart w:id="297" w:name="_Toc337558797"/>
      <w:bookmarkStart w:id="298" w:name="_Toc296503092"/>
      <w:r>
        <w:rPr>
          <w:rFonts w:hint="eastAsia" w:ascii="仿宋_GB2312" w:hAnsi="仿宋_GB2312" w:eastAsia="仿宋_GB2312" w:cs="仿宋_GB2312"/>
          <w:b/>
          <w:bCs w:val="0"/>
          <w:color w:val="000000"/>
          <w:sz w:val="28"/>
          <w:szCs w:val="28"/>
        </w:rPr>
        <w:t>11.1市场价格波动引起的调整</w:t>
      </w:r>
      <w:bookmarkEnd w:id="295"/>
    </w:p>
    <w:bookmarkEnd w:id="296"/>
    <w:bookmarkEnd w:id="297"/>
    <w:bookmarkEnd w:id="298"/>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除专用合同条款另有约定外，市场价格波动超过合同当事人约定的范围，合同价格应当调整。合同当事人可以在专用合同条款中约定选择以下一种方式对合同价格进行调整：</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第1种方式：采用价格指数进行价格调整。</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（1）价格调整公式</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因人工、材料和设备等价格波动影响合同价格时，根据专用合同条款中约定的数据，按以下公式计算差额并调整合同价格：</w:t>
      </w:r>
    </w:p>
    <w:p>
      <w:pPr>
        <w:tabs>
          <w:tab w:val="left" w:pos="0"/>
          <w:tab w:val="left" w:pos="360"/>
          <w:tab w:val="left" w:pos="540"/>
        </w:tabs>
        <w:spacing w:line="360" w:lineRule="auto"/>
        <w:ind w:firstLine="600" w:firstLineChars="200"/>
        <w:rPr>
          <w:rFonts w:hint="eastAsia" w:ascii="Times New Roman" w:hAnsi="Times New Roman" w:eastAsia="仿宋_GB2312"/>
          <w:color w:val="000000"/>
          <w:sz w:val="30"/>
          <w:szCs w:val="32"/>
        </w:rPr>
      </w:pPr>
      <w:r>
        <w:rPr>
          <w:rFonts w:hint="eastAsia" w:ascii="Times New Roman" w:hAnsi="Times New Roman" w:eastAsia="仿宋_GB2312"/>
          <w:color w:val="000000"/>
          <w:position w:val="-30"/>
          <w:sz w:val="30"/>
          <w:szCs w:val="32"/>
        </w:rPr>
        <w:object>
          <v:shape id="_x0000_i1025" o:spt="75" type="#_x0000_t75" style="height:43.9pt;width:359.85pt;" o:ole="t" filled="f" stroked="f" coordsize="21600,21600">
            <v:path/>
            <v:fill on="f" focussize="0,0"/>
            <v:stroke on="f"/>
            <v:imagedata r:id="rId16" o:title=""/>
            <o:lock v:ext="edit" grouping="f" rotation="f" text="f" aspectratio="t"/>
            <w10:wrap type="none"/>
            <w10:anchorlock/>
          </v:shape>
          <o:OLEObject Type="Embed" ProgID="Equation.KSEE3" ShapeID="_x0000_i1025" DrawAspect="Content" ObjectID="_1468075725" r:id="rId15">
            <o:LockedField>false</o:LockedField>
          </o:OLEObject>
        </w:object>
      </w:r>
    </w:p>
    <w:p>
      <w:pPr>
        <w:tabs>
          <w:tab w:val="left" w:pos="0"/>
          <w:tab w:val="left" w:pos="360"/>
          <w:tab w:val="left" w:pos="540"/>
        </w:tabs>
        <w:spacing w:line="360" w:lineRule="auto"/>
        <w:ind w:firstLine="6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公式中：ΔP——需调整的价格差额；</w:t>
      </w:r>
    </w:p>
    <w:p>
      <w:pPr>
        <w:tabs>
          <w:tab w:val="left" w:pos="0"/>
          <w:tab w:val="left" w:pos="360"/>
          <w:tab w:val="left" w:pos="540"/>
        </w:tabs>
        <w:spacing w:line="360" w:lineRule="auto"/>
        <w:ind w:firstLine="1680" w:firstLineChars="6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position w:val="-6"/>
          <w:sz w:val="28"/>
          <w:szCs w:val="28"/>
        </w:rPr>
        <w:object>
          <v:shape id="_x0000_i1026" o:spt="75" type="#_x0000_t75" style="height:17.95pt;width:17.95pt;" o:ole="t" filled="f" stroked="f" coordsize="21600,21600">
            <v:path/>
            <v:fill on="f" focussize="0,0"/>
            <v:stroke on="f"/>
            <v:imagedata r:id="rId18" o:title=""/>
            <o:lock v:ext="edit" grouping="f" rotation="f" text="f" aspectratio="t"/>
            <w10:wrap type="none"/>
            <w10:anchorlock/>
          </v:shape>
          <o:OLEObject Type="Embed" ProgID="Equation.KSEE3" ShapeID="_x0000_i1026" DrawAspect="Content" ObjectID="_1468075726" r:id="rId17">
            <o:LockedField>false</o:LockedField>
          </o:OLEObject>
        </w:object>
      </w:r>
      <w:r>
        <w:rPr>
          <w:rFonts w:hint="eastAsia" w:ascii="仿宋_GB2312" w:hAnsi="仿宋_GB2312" w:eastAsia="仿宋_GB2312" w:cs="仿宋_GB2312"/>
          <w:color w:val="000000"/>
          <w:sz w:val="28"/>
          <w:szCs w:val="28"/>
        </w:rPr>
        <w:t>——约定的付款证书中承包人应得到的已完成工程量的金额。此项金额应不包括价格调整、不计质量保证金的扣留和支付、预付款的支付和扣回。约定的变更及其他金额已按现行价格计价的，也不计在内；</w:t>
      </w:r>
    </w:p>
    <w:p>
      <w:pPr>
        <w:tabs>
          <w:tab w:val="left" w:pos="0"/>
          <w:tab w:val="left" w:pos="360"/>
          <w:tab w:val="left" w:pos="540"/>
        </w:tabs>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A——定值权重（即不调部分的权重）；</w:t>
      </w:r>
    </w:p>
    <w:p>
      <w:pPr>
        <w:tabs>
          <w:tab w:val="left" w:pos="0"/>
          <w:tab w:val="left" w:pos="360"/>
          <w:tab w:val="left" w:pos="540"/>
        </w:tabs>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position w:val="-10"/>
          <w:sz w:val="28"/>
          <w:szCs w:val="28"/>
        </w:rPr>
        <w:object>
          <v:shape id="_x0000_i1027" o:spt="75" type="#_x0000_t75" style="height:21.05pt;width:101pt;" o:ole="t" filled="f" stroked="f" coordsize="21600,21600">
            <v:path/>
            <v:fill on="f" focussize="0,0"/>
            <v:stroke on="f"/>
            <v:imagedata r:id="rId20" o:title=""/>
            <o:lock v:ext="edit" grouping="f" rotation="f" text="f" aspectratio="t"/>
            <w10:wrap type="none"/>
            <w10:anchorlock/>
          </v:shape>
          <o:OLEObject Type="Embed" ProgID="Equation.KSEE3" ShapeID="_x0000_i1027" DrawAspect="Content" ObjectID="_1468075727" r:id="rId19">
            <o:LockedField>false</o:LockedField>
          </o:OLEObject>
        </w:object>
      </w:r>
      <w:r>
        <w:rPr>
          <w:rFonts w:hint="eastAsia" w:ascii="仿宋_GB2312" w:hAnsi="仿宋_GB2312" w:eastAsia="仿宋_GB2312" w:cs="仿宋_GB2312"/>
          <w:color w:val="000000"/>
          <w:sz w:val="28"/>
          <w:szCs w:val="28"/>
        </w:rPr>
        <w:t>——各可调因子的变值权重（即可调部分的权重），为各可调因子在签约合同价中所占的比例；</w:t>
      </w:r>
    </w:p>
    <w:p>
      <w:pPr>
        <w:tabs>
          <w:tab w:val="left" w:pos="0"/>
          <w:tab w:val="left" w:pos="360"/>
          <w:tab w:val="left" w:pos="540"/>
        </w:tabs>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position w:val="-10"/>
          <w:sz w:val="28"/>
          <w:szCs w:val="28"/>
        </w:rPr>
        <w:object>
          <v:shape id="_x0000_i1028" o:spt="75" type="#_x0000_t75" style="height:20.6pt;width:102.05pt;" o:ole="t" filled="f" stroked="f" coordsize="21600,21600">
            <v:path/>
            <v:fill on="f" focussize="0,0"/>
            <v:stroke on="f"/>
            <v:imagedata r:id="rId22" o:title=""/>
            <o:lock v:ext="edit" grouping="f" rotation="f" text="f" aspectratio="t"/>
            <w10:wrap type="none"/>
            <w10:anchorlock/>
          </v:shape>
          <o:OLEObject Type="Embed" ProgID="Equation.KSEE3" ShapeID="_x0000_i1028" DrawAspect="Content" ObjectID="_1468075728" r:id="rId21">
            <o:LockedField>false</o:LockedField>
          </o:OLEObject>
        </w:object>
      </w:r>
      <w:r>
        <w:rPr>
          <w:rFonts w:hint="eastAsia" w:ascii="仿宋_GB2312" w:hAnsi="仿宋_GB2312" w:eastAsia="仿宋_GB2312" w:cs="仿宋_GB2312"/>
          <w:color w:val="000000"/>
          <w:sz w:val="28"/>
          <w:szCs w:val="28"/>
        </w:rPr>
        <w:t>——各可调因子的现行价格指数，指约定的付款证书相关周期最后一天的前42天的各可调因子的价格指数；</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position w:val="-10"/>
          <w:sz w:val="28"/>
          <w:szCs w:val="28"/>
        </w:rPr>
        <w:object>
          <v:shape id="_x0000_i1029" o:spt="75" type="#_x0000_t75" style="height:20.2pt;width:108pt;" o:ole="t" filled="f" stroked="f" coordsize="21600,21600">
            <v:path/>
            <v:fill on="f" focussize="0,0"/>
            <v:stroke on="f"/>
            <v:imagedata r:id="rId24" o:title=""/>
            <o:lock v:ext="edit" grouping="f" rotation="f" text="f" aspectratio="t"/>
            <w10:wrap type="none"/>
            <w10:anchorlock/>
          </v:shape>
          <o:OLEObject Type="Embed" ProgID="Equation.KSEE3" ShapeID="_x0000_i1029" DrawAspect="Content" ObjectID="_1468075729" r:id="rId23">
            <o:LockedField>false</o:LockedField>
          </o:OLEObject>
        </w:object>
      </w:r>
      <w:r>
        <w:rPr>
          <w:rFonts w:hint="eastAsia" w:ascii="仿宋_GB2312" w:hAnsi="仿宋_GB2312" w:eastAsia="仿宋_GB2312" w:cs="仿宋_GB2312"/>
          <w:color w:val="000000"/>
          <w:sz w:val="28"/>
          <w:szCs w:val="28"/>
        </w:rPr>
        <w:t>——各可调因子的基本价格指数，指基准日期的各可调因子的价格指数。</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（2）暂时确定调整差额</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在计算调整差额时无现行价格指数的，合同当事人同意暂用前次价格指数计算。实际价格指数有调整的，合同当事人进行相应调整。</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（3）权重的调整</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因变更导致合同约定的权重不合理时，按照第4.4款〔商定或确定〕执行。</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（4）因承包人原因工期延误后的价格调整</w:t>
      </w:r>
    </w:p>
    <w:p>
      <w:pPr>
        <w:tabs>
          <w:tab w:val="left" w:pos="0"/>
          <w:tab w:val="left" w:pos="360"/>
          <w:tab w:val="left" w:pos="540"/>
        </w:tabs>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因承包人原因未按期竣工的，对合同约定的竣工日期后继续施工的工程，在使用价格调整公式时，应采用计划竣工日期与实际竣工日期的两个价格指数中较低的一个作为现行价格指数。</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第2种方式：采用造价信息进行价格调整。</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（2）材料、工程设备价格变化的价款调整按照发包人提供的基准价格，按以下风险范围规定执行:</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③承包人在已标价工程量清单或预算书中载明材料单价等于基准价格的：除专用合同条款另有约定外，合同履行期间材料单价涨跌幅以基准价格为基础超过±5%时，其超过部分据实调整。</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bookmarkStart w:id="299" w:name="OLE_LINK3"/>
      <w:r>
        <w:rPr>
          <w:rFonts w:hint="eastAsia" w:ascii="仿宋_GB2312" w:hAnsi="仿宋_GB2312" w:eastAsia="仿宋_GB2312" w:cs="仿宋_GB2312"/>
          <w:color w:val="000000"/>
          <w:sz w:val="28"/>
          <w:szCs w:val="28"/>
        </w:rPr>
        <w:t>前述基准价格是指由发包人在招标文件或专用合同条款中给定的材料、工程设备的价格，该价格原则上应当按照省级或行业建设主管部门或其授权的工程造价管理机构发布的信息价编制。</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（3）施工机械台班单价或施工机械使用费发生变化超过省级或行业建设主管部门或其授权的工程造价管理机构规定的范围时，按规定调整合同价格。</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第3种方式：专用合同条款约定的其他方式。</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00" w:name="_Toc351203579"/>
      <w:bookmarkStart w:id="301" w:name="_Toc296503093"/>
      <w:bookmarkStart w:id="302" w:name="_Toc296346594"/>
      <w:bookmarkStart w:id="303" w:name="_Toc337558798"/>
      <w:r>
        <w:rPr>
          <w:rFonts w:hint="eastAsia" w:ascii="仿宋_GB2312" w:hAnsi="仿宋_GB2312" w:eastAsia="仿宋_GB2312" w:cs="仿宋_GB2312"/>
          <w:b/>
          <w:bCs w:val="0"/>
          <w:color w:val="000000"/>
          <w:sz w:val="28"/>
          <w:szCs w:val="28"/>
        </w:rPr>
        <w:t>11.2法律变化引起的调整</w:t>
      </w:r>
      <w:bookmarkEnd w:id="300"/>
    </w:p>
    <w:bookmarkEnd w:id="301"/>
    <w:bookmarkEnd w:id="302"/>
    <w:bookmarkEnd w:id="303"/>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因法律变化引起的合同价格和工期调整，合同当事人无法达成一致的，由总监理工程师按第4.4款〔商定或确定〕的约定处理。</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因承包人原因造成工期延误，在工期延误期间出现法律变化的，由此增加的费用和（或）延误的工期由承包人承担。</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304" w:name="_Toc351203580"/>
      <w:bookmarkStart w:id="305" w:name="_Toc337558799"/>
      <w:bookmarkStart w:id="306" w:name="_Toc296503096"/>
      <w:bookmarkStart w:id="307" w:name="_Toc296346597"/>
      <w:r>
        <w:rPr>
          <w:rFonts w:hint="eastAsia" w:ascii="仿宋_GB2312" w:hAnsi="仿宋_GB2312" w:eastAsia="仿宋_GB2312" w:cs="仿宋_GB2312"/>
          <w:b/>
          <w:bCs w:val="0"/>
          <w:color w:val="000000"/>
          <w:sz w:val="28"/>
          <w:szCs w:val="28"/>
        </w:rPr>
        <w:t>12. 合同价格、计量与支付</w:t>
      </w:r>
      <w:bookmarkEnd w:id="304"/>
    </w:p>
    <w:bookmarkEnd w:id="305"/>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08" w:name="_Toc351203581"/>
      <w:bookmarkStart w:id="309" w:name="_Toc337558800"/>
      <w:r>
        <w:rPr>
          <w:rFonts w:hint="eastAsia" w:ascii="仿宋_GB2312" w:hAnsi="仿宋_GB2312" w:eastAsia="仿宋_GB2312" w:cs="仿宋_GB2312"/>
          <w:b/>
          <w:bCs w:val="0"/>
          <w:color w:val="000000"/>
          <w:sz w:val="28"/>
          <w:szCs w:val="28"/>
        </w:rPr>
        <w:t>12.1 合同价</w:t>
      </w:r>
      <w:bookmarkEnd w:id="306"/>
      <w:bookmarkEnd w:id="307"/>
      <w:r>
        <w:rPr>
          <w:rFonts w:hint="eastAsia" w:ascii="仿宋_GB2312" w:hAnsi="仿宋_GB2312" w:eastAsia="仿宋_GB2312" w:cs="仿宋_GB2312"/>
          <w:b/>
          <w:bCs w:val="0"/>
          <w:color w:val="000000"/>
          <w:sz w:val="28"/>
          <w:szCs w:val="28"/>
        </w:rPr>
        <w:t>格形式</w:t>
      </w:r>
      <w:bookmarkEnd w:id="308"/>
    </w:p>
    <w:bookmarkEnd w:id="309"/>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发包人和承包人应在合同协议书中选择下列一种合同价格形式： </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rPr>
        <w:t>单价合同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单价合同是指合同当事人约定以工程量清单及其综合单价进行合同价格计算、调整和确认的建设工程施工合同，</w:t>
      </w:r>
      <w:r>
        <w:rPr>
          <w:rFonts w:hint="eastAsia" w:ascii="仿宋_GB2312" w:hAnsi="仿宋_GB2312" w:eastAsia="仿宋_GB2312" w:cs="仿宋_GB2312"/>
          <w:sz w:val="28"/>
          <w:szCs w:val="28"/>
        </w:rPr>
        <w:t>在约定的范围内合同单价不作调整</w:t>
      </w:r>
      <w:r>
        <w:rPr>
          <w:rFonts w:hint="eastAsia" w:ascii="仿宋_GB2312" w:hAnsi="仿宋_GB2312" w:eastAsia="仿宋_GB2312" w:cs="仿宋_GB2312"/>
          <w:color w:val="000000"/>
          <w:kern w:val="0"/>
          <w:sz w:val="28"/>
          <w:szCs w:val="28"/>
        </w:rPr>
        <w:t>。合同当事人应在专用合同条款中约定综合单价包含的风险范围和风险费用的计算方法</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并约定风险范围以外的合同价格的调整方法，其中因市场价格波动引起的调整按第11.1款〔市场价格波动引起的调整〕约定执行。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rPr>
        <w:t>总价合同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总价合同是指合同当事人约定以施工图、已标价工程量清单或预算书及有关条件进行合同价格计算、调整和确认的建设工程施工合同，</w:t>
      </w:r>
      <w:r>
        <w:rPr>
          <w:rFonts w:hint="eastAsia" w:ascii="仿宋_GB2312" w:hAnsi="仿宋_GB2312" w:eastAsia="仿宋_GB2312" w:cs="仿宋_GB2312"/>
          <w:sz w:val="28"/>
          <w:szCs w:val="28"/>
        </w:rPr>
        <w:t>在约定的范围内合同总价不作调整</w:t>
      </w:r>
      <w:r>
        <w:rPr>
          <w:rFonts w:hint="eastAsia" w:ascii="仿宋_GB2312" w:hAnsi="仿宋_GB2312" w:eastAsia="仿宋_GB2312" w:cs="仿宋_GB2312"/>
          <w:color w:val="000000"/>
          <w:kern w:val="0"/>
          <w:sz w:val="28"/>
          <w:szCs w:val="28"/>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rPr>
        <w:t>其它价格形式</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合同当事人可在专用合同条款中约定其他合同价格形式。</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10" w:name="_Toc296503097"/>
      <w:bookmarkStart w:id="311" w:name="_Toc296346598"/>
      <w:bookmarkStart w:id="312" w:name="_Toc351203582"/>
      <w:bookmarkStart w:id="313" w:name="_Toc337558801"/>
      <w:r>
        <w:rPr>
          <w:rFonts w:hint="eastAsia" w:ascii="仿宋_GB2312" w:hAnsi="仿宋_GB2312" w:eastAsia="仿宋_GB2312" w:cs="仿宋_GB2312"/>
          <w:b/>
          <w:bCs w:val="0"/>
          <w:color w:val="000000"/>
          <w:sz w:val="28"/>
          <w:szCs w:val="28"/>
        </w:rPr>
        <w:t>12.2预</w:t>
      </w:r>
      <w:bookmarkEnd w:id="310"/>
      <w:bookmarkEnd w:id="311"/>
      <w:bookmarkStart w:id="314" w:name="_Toc296503100"/>
      <w:bookmarkStart w:id="315" w:name="_Toc296346601"/>
      <w:r>
        <w:rPr>
          <w:rFonts w:hint="eastAsia" w:ascii="仿宋_GB2312" w:hAnsi="仿宋_GB2312" w:eastAsia="仿宋_GB2312" w:cs="仿宋_GB2312"/>
          <w:b/>
          <w:bCs w:val="0"/>
          <w:color w:val="000000"/>
          <w:sz w:val="28"/>
          <w:szCs w:val="28"/>
        </w:rPr>
        <w:t>付款</w:t>
      </w:r>
      <w:bookmarkEnd w:id="312"/>
    </w:p>
    <w:bookmarkEnd w:id="313"/>
    <w:bookmarkEnd w:id="314"/>
    <w:bookmarkEnd w:id="315"/>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sz w:val="28"/>
          <w:szCs w:val="28"/>
        </w:rPr>
        <w:t>12.2.</w:t>
      </w:r>
      <w:r>
        <w:rPr>
          <w:rFonts w:hint="eastAsia" w:ascii="仿宋_GB2312" w:hAnsi="仿宋_GB2312" w:eastAsia="仿宋_GB2312" w:cs="仿宋_GB2312"/>
          <w:b/>
          <w:color w:val="000000"/>
          <w:kern w:val="0"/>
          <w:sz w:val="28"/>
          <w:szCs w:val="28"/>
        </w:rPr>
        <w:t>1预付款的支付</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预付款的支付按照专用合同条款约定执行，但至迟应在开工通知载明的开工日期7天前支付。预付款应当用于材料、工程设备、施工设备的采购及修建临时工程、组织施工队伍进场等。</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除专用合同条款另有约定外，预付款在进度付款中同比例扣回。</w:t>
      </w:r>
      <w:bookmarkEnd w:id="299"/>
      <w:r>
        <w:rPr>
          <w:rFonts w:hint="eastAsia" w:ascii="仿宋_GB2312" w:hAnsi="仿宋_GB2312" w:eastAsia="仿宋_GB2312" w:cs="仿宋_GB2312"/>
          <w:color w:val="000000"/>
          <w:kern w:val="0"/>
          <w:sz w:val="28"/>
          <w:szCs w:val="28"/>
        </w:rPr>
        <w:t>在颁发工程接收证书前，提前解除合同的，尚未扣完的预付款应与合同价款一并结算。</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发包人逾期支付预付款超过7天的，承包人有权向发包人发出要求预付的催告通知，发包人收到通知后7天内仍未支付的，承包人有权暂停施工，并按第16.1.1项〔发包人违约的情形〕执行。</w:t>
      </w:r>
    </w:p>
    <w:p>
      <w:pPr>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12.2.2 预付款担保</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发包人在工程款中逐期扣回预付款后，预付款担保额度应相应减少，但剩余的预付款担保金额不得低于未被扣回的预付款金额。</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16" w:name="_Toc351203583"/>
      <w:bookmarkStart w:id="317" w:name="_Toc337558802"/>
      <w:r>
        <w:rPr>
          <w:rFonts w:hint="eastAsia" w:ascii="仿宋_GB2312" w:hAnsi="仿宋_GB2312" w:eastAsia="仿宋_GB2312" w:cs="仿宋_GB2312"/>
          <w:b/>
          <w:bCs w:val="0"/>
          <w:color w:val="000000"/>
          <w:sz w:val="28"/>
          <w:szCs w:val="28"/>
        </w:rPr>
        <w:t>12.3计量</w:t>
      </w:r>
      <w:bookmarkEnd w:id="316"/>
    </w:p>
    <w:bookmarkEnd w:id="317"/>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12.3.1 计量原则</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工程量计量按照合同约定的工程量计算规则、图纸及变更指示等进行计量。工程量计算规则应以相关的国家标准、行业标准等为依据，由合同当事人在专用合同条款中约定。</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12.3.2 计量周期</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除专用合同条款另有约定外，工程量的计量按月进行。</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12.3.3 单价合同的计量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除专用合同条款另有约定外，单价合同的计量按照本项约定执行：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（1）承包人应于每月25日向监理人报送上月20日至当月19日已完成的工程量报告，并附具进度付款申请单、已完成工程量报表和有关资料。</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（3）监理人未在收到承包人提交的工程量报表后的7天内完成审核的，承包人报送的工程量报告中的工程量视为承包人实际完成的工程量，据此计算工程价款。</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12.3.4 总价合同的计量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除专用合同条款另有约定外，按月计量支付的总价合同，按照本项约定执行：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（1）承包人应于每月25日向监理人报送上月20日至当月19日已完成的工程量报告，并附具进度付款申请单、已完成工程量报表和有关资料。</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（3）监理人未在收到承包人提交的工程量报表后的7天内完成复核的，承包人提交的工程量报告中的工程量视为承包人实际完成的工程量。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12.3.5 总价合同采用支付分解表计量支付的，可以按照第12.3.4项〔总价合同的计量〕约定进行计量，但合同价款按照支付分解表进行支付。</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12.3.6 其他价格形式合同的计量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合同当事人可在专用合同条款中约定其他价格形式合同的计量方式和程序。</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18" w:name="_Toc296503101"/>
      <w:bookmarkStart w:id="319" w:name="_Toc296346602"/>
      <w:bookmarkStart w:id="320" w:name="_Toc351203584"/>
      <w:bookmarkStart w:id="321" w:name="_Toc337558803"/>
      <w:r>
        <w:rPr>
          <w:rFonts w:hint="eastAsia" w:ascii="仿宋_GB2312" w:hAnsi="仿宋_GB2312" w:eastAsia="仿宋_GB2312" w:cs="仿宋_GB2312"/>
          <w:b/>
          <w:bCs w:val="0"/>
          <w:color w:val="000000"/>
          <w:sz w:val="28"/>
          <w:szCs w:val="28"/>
        </w:rPr>
        <w:t>12.4工程进度款支</w:t>
      </w:r>
      <w:bookmarkEnd w:id="318"/>
      <w:bookmarkEnd w:id="319"/>
      <w:r>
        <w:rPr>
          <w:rFonts w:hint="eastAsia" w:ascii="仿宋_GB2312" w:hAnsi="仿宋_GB2312" w:eastAsia="仿宋_GB2312" w:cs="仿宋_GB2312"/>
          <w:b/>
          <w:bCs w:val="0"/>
          <w:color w:val="000000"/>
          <w:sz w:val="28"/>
          <w:szCs w:val="28"/>
        </w:rPr>
        <w:t>付</w:t>
      </w:r>
      <w:bookmarkEnd w:id="320"/>
    </w:p>
    <w:bookmarkEnd w:id="321"/>
    <w:p>
      <w:pPr>
        <w:autoSpaceDE w:val="0"/>
        <w:autoSpaceDN w:val="0"/>
        <w:adjustRightInd w:val="0"/>
        <w:spacing w:beforeLines="0" w:afterLines="0" w:line="560" w:lineRule="exact"/>
        <w:ind w:firstLine="562" w:firstLineChars="200"/>
        <w:jc w:val="left"/>
        <w:outlineLvl w:val="0"/>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sz w:val="28"/>
          <w:szCs w:val="28"/>
        </w:rPr>
        <w:t>12.4</w:t>
      </w:r>
      <w:r>
        <w:rPr>
          <w:rFonts w:hint="eastAsia" w:ascii="仿宋_GB2312" w:hAnsi="仿宋_GB2312" w:eastAsia="仿宋_GB2312" w:cs="仿宋_GB2312"/>
          <w:b/>
          <w:color w:val="000000"/>
          <w:kern w:val="0"/>
          <w:sz w:val="28"/>
          <w:szCs w:val="28"/>
        </w:rPr>
        <w:t>.1 付款周期</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除专用合同条款另有约定外，付款周期应按照第12.3.2项〔计量周期〕的约定与计量周期保持一致。</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12.4</w:t>
      </w:r>
      <w:r>
        <w:rPr>
          <w:rFonts w:hint="eastAsia" w:ascii="仿宋_GB2312" w:hAnsi="仿宋_GB2312" w:eastAsia="仿宋_GB2312" w:cs="仿宋_GB2312"/>
          <w:b/>
          <w:bCs/>
          <w:color w:val="000000"/>
          <w:kern w:val="0"/>
          <w:sz w:val="28"/>
          <w:szCs w:val="28"/>
        </w:rPr>
        <w:t>.2 进度付款申请单的编制</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除专用合同条款另有约定外，进度付款申请单应包括下列内容：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（1）截至本次付款周期已完成工作对应的金额；</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（2）根据第10条〔变更〕应增加和扣减的变更金额；</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（3）根据第12.2款〔预付款〕约定应支付的预付款和扣减的返还预付款；</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（4）根据第15.3款〔质量保证金〕约定应扣减的质量保证金；</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（5）根据第19条〔索赔〕应增加和扣减的索赔金额；</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（6）对已签发的进度款支付证书中出现错误的修正，应在本次进度付款中支付或扣除的金额；</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（7）根据合同约定应增加和扣减的其他金额。</w:t>
      </w:r>
    </w:p>
    <w:p>
      <w:pPr>
        <w:autoSpaceDE w:val="0"/>
        <w:autoSpaceDN w:val="0"/>
        <w:adjustRightInd w:val="0"/>
        <w:spacing w:beforeLines="0" w:afterLines="0" w:line="560" w:lineRule="exact"/>
        <w:ind w:firstLine="562" w:firstLineChars="200"/>
        <w:jc w:val="left"/>
        <w:outlineLvl w:val="0"/>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12.4.3 进度付款申请单的提交</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（1）单价合同进度付款申请单的提交</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单价合同的进度付款申请单，按照第12.3.3项〔单价合同的计量〕约定的时间按月向监理人提交，并附上已完成工程量报表和有关资料。单价合同中的总价项目按月进行支付分解，并汇总列入当期进度付款申请单。</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（2）总价合同进度付款申请单的提交</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总价合同按月计量支付的，承包人按照第12.3.4项〔总价合同的计量〕约定的时间按月向监理人提交进度付款申请单，并附上已完成工程量报表和有关资料。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总价合同按支付分解表支付的，承包人应按照第12.4.6项〔支付分解表〕及第12.4.2项〔进度付款申请单的编制〕的约定向监理人提交进度付款申请单。</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（3）其他价格形式合同的进度付款申请单的提交</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合同当事人可在专用合同条款中约定其他价格形式合同的进度付款申请单的编制和提交程序。</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sz w:val="28"/>
          <w:szCs w:val="28"/>
        </w:rPr>
        <w:t>12.4</w:t>
      </w:r>
      <w:r>
        <w:rPr>
          <w:rFonts w:hint="eastAsia" w:ascii="仿宋_GB2312" w:hAnsi="仿宋_GB2312" w:eastAsia="仿宋_GB2312" w:cs="仿宋_GB2312"/>
          <w:b/>
          <w:bCs/>
          <w:color w:val="000000"/>
          <w:kern w:val="0"/>
          <w:sz w:val="28"/>
          <w:szCs w:val="28"/>
        </w:rPr>
        <w:t>.4 进度款审核和支付</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（2）除专用合同条款另有约定外，发包人应在进度款支付证书或临时进度款支付证书签发后14天内完成支付，发包人逾期支付进度款的，应按照中国人民银行发布的同期同类贷款基准利率支付违约金。</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（3）发包人签发进度款支付证书或临时进度款支付证书，不表明发包人已同意、批准或接受了承包人完成的相应部分的工作。</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12.4.5 进度付款的修正</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在对已签发的进度款支付证书进行阶段汇总和复核中发现错误、遗漏或重复的，发包人和承包人均有权提出修正申请。经发包人和承包人同意的修正，应在下期进度付款中支付或扣除。</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12.4.6 支付分解表</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rPr>
        <w:t>支付分解表的编制要求</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（1）支付分解表中所列的每期付款金额，应为第12.4.2项〔进度付款申请单的编制〕第（1）目的估算金额；</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（2）实际进度与施工进度计划不一致的，合同当事人可按照第4.4款〔商定或确定〕修改支付分解表；</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（3）不采用支付分解表的，承包人应向发包人和监理人提交按季度编制的支付估算分解表，用于支付参考。</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rPr>
        <w:t>总价合同支付分解表的编制与审批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（2）监理人应在收到支付分解表后7天内完成审核并报送发包人。发包人应在收到经监理人审核的支付分解表后7天内完成审批，经发包人批准的支付分解表为有约束力的支付分解表。</w:t>
      </w:r>
    </w:p>
    <w:p>
      <w:pPr>
        <w:spacing w:beforeLines="0" w:afterLines="0" w:line="56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（3）发包人逾期未完成支付分解表审批的，也未及时要求承包人进行修正和提供补充资料的，则承包人提交的支付分解表视为已经获得发包人批准。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rPr>
        <w:t>单价合同的总价项目支付分解表的编制与审批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22" w:name="_Toc351203585"/>
      <w:r>
        <w:rPr>
          <w:rFonts w:hint="eastAsia" w:ascii="仿宋_GB2312" w:hAnsi="仿宋_GB2312" w:eastAsia="仿宋_GB2312" w:cs="仿宋_GB2312"/>
          <w:b/>
          <w:bCs w:val="0"/>
          <w:color w:val="000000"/>
          <w:sz w:val="28"/>
          <w:szCs w:val="28"/>
        </w:rPr>
        <w:t>12.5支付账户</w:t>
      </w:r>
      <w:bookmarkEnd w:id="322"/>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发包人应将合同价款支付至合同协议书中约定的承包人账户。</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323" w:name="_Toc351203586"/>
      <w:bookmarkStart w:id="324" w:name="_Toc322522574"/>
      <w:bookmarkStart w:id="325" w:name="_Toc337558804"/>
      <w:bookmarkStart w:id="326" w:name="_Toc296346607"/>
      <w:bookmarkStart w:id="327" w:name="_Toc296503106"/>
      <w:r>
        <w:rPr>
          <w:rFonts w:hint="eastAsia" w:ascii="仿宋_GB2312" w:hAnsi="仿宋_GB2312" w:eastAsia="仿宋_GB2312" w:cs="仿宋_GB2312"/>
          <w:b/>
          <w:bCs w:val="0"/>
          <w:color w:val="000000"/>
          <w:sz w:val="28"/>
          <w:szCs w:val="28"/>
        </w:rPr>
        <w:t>13. 验收和工程试车</w:t>
      </w:r>
      <w:bookmarkEnd w:id="323"/>
    </w:p>
    <w:bookmarkEnd w:id="324"/>
    <w:bookmarkEnd w:id="325"/>
    <w:bookmarkEnd w:id="326"/>
    <w:bookmarkEnd w:id="327"/>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28" w:name="_Toc351203587"/>
      <w:bookmarkStart w:id="329" w:name="_Toc337558805"/>
      <w:bookmarkStart w:id="330" w:name="_Toc296346611"/>
      <w:bookmarkStart w:id="331" w:name="_Toc296503110"/>
      <w:r>
        <w:rPr>
          <w:rFonts w:hint="eastAsia" w:ascii="仿宋_GB2312" w:hAnsi="仿宋_GB2312" w:eastAsia="仿宋_GB2312" w:cs="仿宋_GB2312"/>
          <w:b/>
          <w:bCs w:val="0"/>
          <w:color w:val="000000"/>
          <w:sz w:val="28"/>
          <w:szCs w:val="28"/>
        </w:rPr>
        <w:t>13.1分部分项工程验收</w:t>
      </w:r>
      <w:bookmarkEnd w:id="328"/>
    </w:p>
    <w:bookmarkEnd w:id="329"/>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13.1.1 分部分项工程质量应符合国家有关工程施工验收规范、标准及合同约定，承包人应按照施工组织设计的要求完成分部分项工程施工。</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13.1.2 除专用合同条款另有约定外，分部分项工程经承包人自检合格并具备验收条件的，承包人应提前48小时通知监理人进行验收。</w:t>
      </w:r>
      <w:r>
        <w:rPr>
          <w:rFonts w:hint="eastAsia" w:ascii="仿宋_GB2312" w:hAnsi="仿宋_GB2312" w:eastAsia="仿宋_GB2312" w:cs="仿宋_GB2312"/>
          <w:color w:val="000000"/>
          <w:kern w:val="0"/>
          <w:sz w:val="28"/>
          <w:szCs w:val="28"/>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仿宋_GB2312" w:hAnsi="仿宋_GB2312" w:eastAsia="仿宋_GB2312" w:cs="仿宋_GB2312"/>
          <w:color w:val="000000"/>
          <w:sz w:val="28"/>
          <w:szCs w:val="28"/>
        </w:rPr>
        <w:t>分部分项工程未经验收的，不得进入下一道工序施工。</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分部分项工程的验收资料应当作为竣工资料的组成部分。</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32" w:name="_Toc351203588"/>
      <w:bookmarkStart w:id="333" w:name="_Toc337558806"/>
      <w:r>
        <w:rPr>
          <w:rFonts w:hint="eastAsia" w:ascii="仿宋_GB2312" w:hAnsi="仿宋_GB2312" w:eastAsia="仿宋_GB2312" w:cs="仿宋_GB2312"/>
          <w:b/>
          <w:bCs w:val="0"/>
          <w:color w:val="000000"/>
          <w:sz w:val="28"/>
          <w:szCs w:val="28"/>
        </w:rPr>
        <w:t>13.2竣工验收</w:t>
      </w:r>
      <w:bookmarkEnd w:id="332"/>
    </w:p>
    <w:bookmarkEnd w:id="330"/>
    <w:bookmarkEnd w:id="331"/>
    <w:bookmarkEnd w:id="333"/>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13.2.1竣工验收条件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工程具备以下条件的，承包人可以申请竣工验收：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（1）除发包人同意的甩项工作和缺陷修补工作外，合同范围内的全部工程以及有关工作，包括合同要求的试验、试运行以及检验均已完成，并符合合同要求；</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（2）已按合同约定编制了甩项工作和缺陷修补工作清单以及相应的施工计划；</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（3）已按合同约定的内容和份数备齐竣工资料。</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13.2.2竣工验收程序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除专用合同条款另有约定外，承包人申请竣工验收的，应当按照以下程序进行：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（2）监理人审查后认为已具备竣工验收条件的，应将竣工验收申请报告提交发包人，发包人应在收到经监理人审核的竣工验收申请报告后28天内审批完毕并组织监理人、承包人、设计人等相关单位完成竣工验收。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（3）竣工验收合格的，发包人应在验收合格后14天内向承包人签发工程接收证书。发包人无正当理由逾期不颁发工程接收证书的，自验收合格后第15天起视为已颁发工程接收证书。</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（5）工程未经验收或验收不合格，发包人擅自使用的，应在转移占有工程后7天内向承包人颁发工程接收证书；发包人无正当理由逾期不颁发工程接收证书的，自转移占有后第15天起视为已颁发工程接收证书。</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除专用合同条款另有约定外，发包人不按照本项约定组织竣工验收、颁发工程接收证书的，每逾期一天，应以签约合同价为基数，按照中国人民银行发布的同期同类贷款基准利率支付违约金。</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13.2.3竣工日期</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34" w:name="#go14"/>
      <w:bookmarkEnd w:id="334"/>
      <w:r>
        <w:rPr>
          <w:rFonts w:hint="eastAsia" w:ascii="仿宋_GB2312" w:hAnsi="仿宋_GB2312" w:eastAsia="仿宋_GB2312" w:cs="仿宋_GB2312"/>
          <w:color w:val="000000"/>
          <w:kern w:val="0"/>
          <w:sz w:val="28"/>
          <w:szCs w:val="28"/>
        </w:rPr>
        <w:t>收申请报告的日期为实际竣工日期；工程未经竣工验收，发包人擅自使用的，以转移占有工程之日为实际竣工日期。</w:t>
      </w:r>
    </w:p>
    <w:p>
      <w:pPr>
        <w:spacing w:beforeLines="0" w:afterLines="0" w:line="560" w:lineRule="exact"/>
        <w:ind w:firstLine="562" w:firstLineChars="200"/>
        <w:jc w:val="left"/>
        <w:outlineLvl w:val="0"/>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13.2.4 拒绝接收全部或部分工程</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13.2.5 移交、接收全部与部分工程</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除专用合同条款另有约定外，合同当事人应当在颁发工程接收证书后7天内完成工程的移交。</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发包人无正当理由不接收工程的，发包人自应当接收工程之日起，承担工程照管、成品保护、保管等与工程有关的各项费用，合同当事人可以在专用合同条款中另行约定发包人逾期接收工程的违约责任。</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承包人无正当理由不移交工程的，承包人应承担工程照管、成品保护、保管等与工程有关的各项费用，合同当事人可以在专用合同条款中另行约定承包人无正当理由不移交工程的违约责任。</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35" w:name="_Toc351203589"/>
      <w:bookmarkStart w:id="336" w:name="_Toc296346612"/>
      <w:bookmarkStart w:id="337" w:name="_Toc337558807"/>
      <w:bookmarkStart w:id="338" w:name="_Toc296503111"/>
      <w:r>
        <w:rPr>
          <w:rFonts w:hint="eastAsia" w:ascii="仿宋_GB2312" w:hAnsi="仿宋_GB2312" w:eastAsia="仿宋_GB2312" w:cs="仿宋_GB2312"/>
          <w:b/>
          <w:bCs w:val="0"/>
          <w:color w:val="000000"/>
          <w:sz w:val="28"/>
          <w:szCs w:val="28"/>
        </w:rPr>
        <w:t>13.3工程试车</w:t>
      </w:r>
      <w:bookmarkEnd w:id="335"/>
    </w:p>
    <w:bookmarkEnd w:id="336"/>
    <w:bookmarkEnd w:id="337"/>
    <w:bookmarkEnd w:id="338"/>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13.3.1试车程序</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工程需要试车的，除专用合同条款另有约定外，试车内容应与承包人承包范围相一致，试车费用由承包人承担。工程试车应按如下程序进行：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13.3.2 试车中的责任</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13.3.3 投料试车</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如需进行投料试车的，发包人应在工程竣工验收后组织投料试车。发包人要求在工程竣工验收前进行或需要承包人配合时，应征得承包人同意，并在专用合同条款中约定有关事项。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pPr>
        <w:pStyle w:val="6"/>
        <w:spacing w:before="0" w:after="0" w:line="560" w:lineRule="exact"/>
        <w:jc w:val="left"/>
        <w:rPr>
          <w:rFonts w:hint="eastAsia" w:ascii="仿宋_GB2312" w:hAnsi="仿宋_GB2312" w:eastAsia="仿宋_GB2312" w:cs="仿宋_GB2312"/>
          <w:b/>
          <w:bCs w:val="0"/>
          <w:color w:val="000000"/>
          <w:sz w:val="28"/>
          <w:szCs w:val="28"/>
        </w:rPr>
      </w:pPr>
      <w:bookmarkStart w:id="339" w:name="_Toc351203590"/>
      <w:bookmarkStart w:id="340" w:name="_Toc337558808"/>
      <w:r>
        <w:rPr>
          <w:rFonts w:hint="eastAsia" w:ascii="仿宋_GB2312" w:hAnsi="仿宋_GB2312" w:eastAsia="仿宋_GB2312" w:cs="仿宋_GB2312"/>
          <w:b/>
          <w:bCs w:val="0"/>
          <w:color w:val="000000"/>
          <w:sz w:val="28"/>
          <w:szCs w:val="28"/>
        </w:rPr>
        <w:t>13.4提前交付单位工程的验收</w:t>
      </w:r>
      <w:bookmarkEnd w:id="339"/>
    </w:p>
    <w:bookmarkEnd w:id="340"/>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13.4.1 发包人需要在工程竣工前使用单位工程的，或承包人提出提前交付已经竣工的单位工程且经发包人同意的，可进行单位工程验收，验收的程序按照第13.2款〔竣工验收〕的约定进行。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验收合格后，由监理人向承包人出具经发包人签认的单位工程接收证书。已签发单位工程接收证书的单位工程由发包人负责照管。单位工程的验收成果和结论作为整体工程竣工验收申请报告的附件。</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13.4.2 发包人要求在工程竣工前交付单位工程，由此导致承包人费用增加和（或）工期延误的，由发包人承担由此增加的费用和（或）延误的工期，并支付承包人合理的利润。</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41" w:name="_Toc351203591"/>
      <w:r>
        <w:rPr>
          <w:rFonts w:hint="eastAsia" w:ascii="仿宋_GB2312" w:hAnsi="仿宋_GB2312" w:eastAsia="仿宋_GB2312" w:cs="仿宋_GB2312"/>
          <w:b/>
          <w:bCs w:val="0"/>
          <w:color w:val="000000"/>
          <w:sz w:val="28"/>
          <w:szCs w:val="28"/>
        </w:rPr>
        <w:t>13.5 施工期运行</w:t>
      </w:r>
      <w:bookmarkEnd w:id="341"/>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13.5.2 在施工期运行中发现工程或工程设备损坏或存在缺陷的，由承包人按第15.2款〔缺陷责任期〕约定进行修复。</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42" w:name="_Toc296346613"/>
      <w:bookmarkStart w:id="343" w:name="_Toc296503112"/>
      <w:bookmarkStart w:id="344" w:name="_Toc351203592"/>
      <w:bookmarkStart w:id="345" w:name="_Toc337558809"/>
      <w:r>
        <w:rPr>
          <w:rFonts w:hint="eastAsia" w:ascii="仿宋_GB2312" w:hAnsi="仿宋_GB2312" w:eastAsia="仿宋_GB2312" w:cs="仿宋_GB2312"/>
          <w:b/>
          <w:bCs w:val="0"/>
          <w:color w:val="000000"/>
          <w:sz w:val="28"/>
          <w:szCs w:val="28"/>
        </w:rPr>
        <w:t>13.6 竣工退</w:t>
      </w:r>
      <w:bookmarkEnd w:id="342"/>
      <w:bookmarkEnd w:id="343"/>
      <w:r>
        <w:rPr>
          <w:rFonts w:hint="eastAsia" w:ascii="仿宋_GB2312" w:hAnsi="仿宋_GB2312" w:eastAsia="仿宋_GB2312" w:cs="仿宋_GB2312"/>
          <w:b/>
          <w:bCs w:val="0"/>
          <w:color w:val="000000"/>
          <w:sz w:val="28"/>
          <w:szCs w:val="28"/>
        </w:rPr>
        <w:t>场</w:t>
      </w:r>
      <w:bookmarkEnd w:id="344"/>
    </w:p>
    <w:bookmarkEnd w:id="345"/>
    <w:p>
      <w:pPr>
        <w:spacing w:beforeLines="0" w:afterLines="0" w:line="560" w:lineRule="exact"/>
        <w:ind w:firstLine="562"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color w:val="000000"/>
          <w:kern w:val="0"/>
          <w:sz w:val="28"/>
          <w:szCs w:val="28"/>
        </w:rPr>
        <w:t>13.6.1 竣工退场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颁发工程接收证书后，承包人应按以下要求对施工现场进行清理：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（1）施工现场内残留的垃圾已全部清除出场；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（2）临时工程已拆除，场地已进行清理、平整或复原；</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（3）按合同约定应撤离的人员、承包人施工设备和剩余的材料，包括废弃的施工设备和材料，已按计划撤离施工现场；</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（4）施工现场周边及其附近道路、河道的施工堆积物，已全部清理；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（5）施工现场其他场地清理工作已全部完成。</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13.6.2 地表还原</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承包人应按发包人要求恢复临时占地及清理场地，承包人未按发包人的要求恢复临时占地，或者场地清理未达到合同约定要求的，发包人有权委托其他人恢复或清理，所发生的费用由承包人承担。</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346" w:name="_Toc351203593"/>
      <w:bookmarkStart w:id="347" w:name="_Toc337558810"/>
      <w:bookmarkStart w:id="348" w:name="_Toc296503113"/>
      <w:bookmarkStart w:id="349" w:name="_Toc296346614"/>
      <w:r>
        <w:rPr>
          <w:rFonts w:hint="eastAsia" w:ascii="仿宋_GB2312" w:hAnsi="仿宋_GB2312" w:eastAsia="仿宋_GB2312" w:cs="仿宋_GB2312"/>
          <w:b/>
          <w:bCs w:val="0"/>
          <w:color w:val="000000"/>
          <w:sz w:val="28"/>
          <w:szCs w:val="28"/>
        </w:rPr>
        <w:t>14. 竣工结算</w:t>
      </w:r>
      <w:bookmarkEnd w:id="346"/>
    </w:p>
    <w:bookmarkEnd w:id="347"/>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50" w:name="_Toc351203594"/>
      <w:bookmarkStart w:id="351" w:name="_Toc337558811"/>
      <w:r>
        <w:rPr>
          <w:rFonts w:hint="eastAsia" w:ascii="仿宋_GB2312" w:hAnsi="仿宋_GB2312" w:eastAsia="仿宋_GB2312" w:cs="仿宋_GB2312"/>
          <w:b/>
          <w:bCs w:val="0"/>
          <w:color w:val="000000"/>
          <w:sz w:val="28"/>
          <w:szCs w:val="28"/>
        </w:rPr>
        <w:t>14.1 竣工结算申请</w:t>
      </w:r>
      <w:bookmarkEnd w:id="350"/>
    </w:p>
    <w:bookmarkEnd w:id="351"/>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除专用合同条款另有约定外，</w:t>
      </w:r>
      <w:r>
        <w:rPr>
          <w:rFonts w:hint="eastAsia" w:ascii="仿宋_GB2312" w:hAnsi="仿宋_GB2312" w:eastAsia="仿宋_GB2312" w:cs="仿宋_GB2312"/>
          <w:color w:val="000000"/>
          <w:sz w:val="28"/>
          <w:szCs w:val="28"/>
        </w:rPr>
        <w:t>承包人应在工程竣工验收合格后28天内向发包人和监理人提交竣工结算申请单，并提交完整的结算资料，有关竣工结算申请单的资料清单和份数等要求由合同当事人在专用合同条款中约定。</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除专用合同条款另有约定外，竣工结算申请单应包括以下内容：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（1）竣工结算合同价格；</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（2）发包人已支付承包人的款项；</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（3）应扣留的质量保证金。已缴纳履约保证金的或提供其他工程质量担保方式的除外； </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（4）发包人应支付承包人的合同价款。</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52" w:name="_Toc351203595"/>
      <w:bookmarkStart w:id="353" w:name="_Toc337558812"/>
      <w:r>
        <w:rPr>
          <w:rFonts w:hint="eastAsia" w:ascii="仿宋_GB2312" w:hAnsi="仿宋_GB2312" w:eastAsia="仿宋_GB2312" w:cs="仿宋_GB2312"/>
          <w:b/>
          <w:bCs w:val="0"/>
          <w:color w:val="000000"/>
          <w:sz w:val="28"/>
          <w:szCs w:val="28"/>
        </w:rPr>
        <w:t>14.2 竣工结算审核</w:t>
      </w:r>
      <w:bookmarkEnd w:id="352"/>
    </w:p>
    <w:bookmarkEnd w:id="353"/>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仿宋_GB2312" w:hAnsi="仿宋_GB2312" w:eastAsia="仿宋_GB2312" w:cs="仿宋_GB2312"/>
          <w:color w:val="000000"/>
          <w:sz w:val="28"/>
          <w:szCs w:val="28"/>
        </w:rPr>
        <w:t>发包人对竣工</w:t>
      </w:r>
      <w:r>
        <w:rPr>
          <w:rFonts w:hint="eastAsia" w:ascii="仿宋_GB2312" w:hAnsi="仿宋_GB2312" w:eastAsia="仿宋_GB2312" w:cs="仿宋_GB2312"/>
          <w:color w:val="000000"/>
          <w:kern w:val="0"/>
          <w:sz w:val="28"/>
          <w:szCs w:val="28"/>
        </w:rPr>
        <w:t>结算</w:t>
      </w:r>
      <w:r>
        <w:rPr>
          <w:rFonts w:hint="eastAsia" w:ascii="仿宋_GB2312" w:hAnsi="仿宋_GB2312" w:eastAsia="仿宋_GB2312" w:cs="仿宋_GB2312"/>
          <w:color w:val="000000"/>
          <w:sz w:val="28"/>
          <w:szCs w:val="28"/>
        </w:rPr>
        <w:t>申请单有异议的，有权要求承包人进行修正和提供补充资料，承包人应提交修正后的竣工</w:t>
      </w:r>
      <w:r>
        <w:rPr>
          <w:rFonts w:hint="eastAsia" w:ascii="仿宋_GB2312" w:hAnsi="仿宋_GB2312" w:eastAsia="仿宋_GB2312" w:cs="仿宋_GB2312"/>
          <w:color w:val="000000"/>
          <w:kern w:val="0"/>
          <w:sz w:val="28"/>
          <w:szCs w:val="28"/>
        </w:rPr>
        <w:t>结算</w:t>
      </w:r>
      <w:r>
        <w:rPr>
          <w:rFonts w:hint="eastAsia" w:ascii="仿宋_GB2312" w:hAnsi="仿宋_GB2312" w:eastAsia="仿宋_GB2312" w:cs="仿宋_GB2312"/>
          <w:color w:val="000000"/>
          <w:sz w:val="28"/>
          <w:szCs w:val="28"/>
        </w:rPr>
        <w:t>申请单。</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54" w:name="_Toc351203596"/>
      <w:bookmarkStart w:id="355" w:name="_Toc337558813"/>
      <w:r>
        <w:rPr>
          <w:rFonts w:hint="eastAsia" w:ascii="仿宋_GB2312" w:hAnsi="仿宋_GB2312" w:eastAsia="仿宋_GB2312" w:cs="仿宋_GB2312"/>
          <w:b/>
          <w:bCs w:val="0"/>
          <w:color w:val="000000"/>
          <w:sz w:val="28"/>
          <w:szCs w:val="28"/>
        </w:rPr>
        <w:t>14.3 甩项竣工协议</w:t>
      </w:r>
      <w:bookmarkEnd w:id="354"/>
    </w:p>
    <w:bookmarkEnd w:id="355"/>
    <w:p>
      <w:pPr>
        <w:autoSpaceDE w:val="0"/>
        <w:autoSpaceDN w:val="0"/>
        <w:adjustRightInd w:val="0"/>
        <w:spacing w:beforeLines="0" w:afterLines="0" w:line="560" w:lineRule="exact"/>
        <w:ind w:firstLine="548" w:firstLineChars="196"/>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发包人要求甩项竣工的，合同当事人应签订甩项竣工协议。在甩项竣工协议中应明确，合同当事人按照第14.1款〔竣工结算申请〕及14.2款〔竣工结算审核〕的约定，对已完合格工程进行结算，并支付相应合同价款。</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56" w:name="_Toc351203597"/>
      <w:bookmarkStart w:id="357" w:name="_Toc337558814"/>
      <w:r>
        <w:rPr>
          <w:rFonts w:hint="eastAsia" w:ascii="仿宋_GB2312" w:hAnsi="仿宋_GB2312" w:eastAsia="仿宋_GB2312" w:cs="仿宋_GB2312"/>
          <w:b/>
          <w:bCs w:val="0"/>
          <w:color w:val="000000"/>
          <w:sz w:val="28"/>
          <w:szCs w:val="28"/>
        </w:rPr>
        <w:t>14.4 最终结清</w:t>
      </w:r>
      <w:bookmarkEnd w:id="356"/>
    </w:p>
    <w:bookmarkEnd w:id="357"/>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14.4.1 最终结清申请单</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（1）除专用合同条款另有约定外，承包人应在缺陷责任期终止证书颁发后7天内，按专用合同条款约定的份数向发包人提交最终结清申请单，并提供相关证明材料。</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除专用合同条款另有约定外，</w:t>
      </w:r>
      <w:r>
        <w:rPr>
          <w:rFonts w:hint="eastAsia" w:ascii="仿宋_GB2312" w:hAnsi="仿宋_GB2312" w:eastAsia="仿宋_GB2312" w:cs="仿宋_GB2312"/>
          <w:color w:val="000000"/>
          <w:kern w:val="0"/>
          <w:sz w:val="28"/>
          <w:szCs w:val="28"/>
        </w:rPr>
        <w:t>最终结清申请单</w:t>
      </w:r>
      <w:r>
        <w:rPr>
          <w:rFonts w:hint="eastAsia" w:ascii="仿宋_GB2312" w:hAnsi="仿宋_GB2312" w:eastAsia="仿宋_GB2312" w:cs="仿宋_GB2312"/>
          <w:color w:val="000000"/>
          <w:sz w:val="28"/>
          <w:szCs w:val="28"/>
        </w:rPr>
        <w:t>应列明质量保证金、应扣除的质量保证金、缺陷责任期内发生的增减费用。</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（2）发包人对最终结清申请单内容有异议的，有权要求承包人进行修正和提供补充资料，承包人应向发包人提交修正后的最终结清申请单。</w:t>
      </w:r>
    </w:p>
    <w:p>
      <w:pPr>
        <w:autoSpaceDE w:val="0"/>
        <w:autoSpaceDN w:val="0"/>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14.4.2 最终结清证书和支付</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pPr>
        <w:autoSpaceDE w:val="0"/>
        <w:autoSpaceDN w:val="0"/>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（3）承包人对发包人颁发的最终结清证书有异议的，按第20条〔争议解决〕的约定办理。</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358" w:name="_Toc351203598"/>
      <w:bookmarkStart w:id="359" w:name="_Toc337558815"/>
      <w:r>
        <w:rPr>
          <w:rFonts w:hint="eastAsia" w:ascii="仿宋_GB2312" w:hAnsi="仿宋_GB2312" w:eastAsia="仿宋_GB2312" w:cs="仿宋_GB2312"/>
          <w:b/>
          <w:bCs w:val="0"/>
          <w:color w:val="000000"/>
          <w:sz w:val="28"/>
          <w:szCs w:val="28"/>
        </w:rPr>
        <w:t>15. 缺陷责任与保修</w:t>
      </w:r>
      <w:bookmarkEnd w:id="358"/>
    </w:p>
    <w:bookmarkEnd w:id="348"/>
    <w:bookmarkEnd w:id="349"/>
    <w:bookmarkEnd w:id="359"/>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60" w:name="_Toc351203599"/>
      <w:bookmarkStart w:id="361" w:name="_Toc337558816"/>
      <w:bookmarkStart w:id="362" w:name="_Toc296346615"/>
      <w:bookmarkStart w:id="363" w:name="_Toc296503114"/>
      <w:r>
        <w:rPr>
          <w:rFonts w:hint="eastAsia" w:ascii="仿宋_GB2312" w:hAnsi="仿宋_GB2312" w:eastAsia="仿宋_GB2312" w:cs="仿宋_GB2312"/>
          <w:b/>
          <w:bCs w:val="0"/>
          <w:color w:val="000000"/>
          <w:sz w:val="28"/>
          <w:szCs w:val="28"/>
        </w:rPr>
        <w:t>15.1 工程保修的原则</w:t>
      </w:r>
      <w:bookmarkEnd w:id="360"/>
    </w:p>
    <w:bookmarkEnd w:id="361"/>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在工程移交发包人后，因承包人原因产生的质量缺陷，承包人应承担质量缺陷责任和保修义务。缺陷责任期届满，承包人仍应按合同约定的工程各部位保修年限承担保修义务。</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64" w:name="_Toc351203600"/>
      <w:bookmarkStart w:id="365" w:name="_Toc337558817"/>
      <w:r>
        <w:rPr>
          <w:rFonts w:hint="eastAsia" w:ascii="仿宋_GB2312" w:hAnsi="仿宋_GB2312" w:eastAsia="仿宋_GB2312" w:cs="仿宋_GB2312"/>
          <w:b/>
          <w:bCs w:val="0"/>
          <w:color w:val="000000"/>
          <w:sz w:val="28"/>
          <w:szCs w:val="28"/>
        </w:rPr>
        <w:t>15.2 缺陷责任期</w:t>
      </w:r>
      <w:bookmarkEnd w:id="362"/>
      <w:bookmarkEnd w:id="363"/>
      <w:bookmarkEnd w:id="364"/>
    </w:p>
    <w:bookmarkEnd w:id="365"/>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15.2.1 缺陷责任期从工程通过竣工验收之日起计算，合同当事人应在专用合同条款约定缺陷责任期的具体期限，但该期限最长不超过24个月。</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仿宋_GB2312" w:hAnsi="仿宋_GB2312" w:eastAsia="仿宋_GB2312" w:cs="仿宋_GB2312"/>
          <w:bCs/>
          <w:color w:val="000000"/>
          <w:sz w:val="28"/>
          <w:szCs w:val="28"/>
        </w:rPr>
        <w:t>包人延长缺陷责任期，</w:t>
      </w:r>
      <w:r>
        <w:rPr>
          <w:rFonts w:hint="eastAsia" w:ascii="仿宋_GB2312" w:hAnsi="仿宋_GB2312" w:eastAsia="仿宋_GB2312" w:cs="仿宋_GB2312"/>
          <w:color w:val="000000"/>
          <w:kern w:val="0"/>
          <w:sz w:val="28"/>
          <w:szCs w:val="28"/>
        </w:rPr>
        <w:t>并应在原缺陷责任期届满前发出延长通知</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Cs/>
          <w:color w:val="000000"/>
          <w:sz w:val="28"/>
          <w:szCs w:val="28"/>
        </w:rPr>
        <w:t>但缺陷责任期</w:t>
      </w:r>
      <w:r>
        <w:rPr>
          <w:rFonts w:hint="eastAsia" w:ascii="仿宋_GB2312" w:hAnsi="仿宋_GB2312" w:eastAsia="仿宋_GB2312" w:cs="仿宋_GB2312"/>
          <w:bCs/>
          <w:color w:val="000000"/>
          <w:sz w:val="28"/>
          <w:szCs w:val="28"/>
          <w:lang w:eastAsia="zh-CN"/>
        </w:rPr>
        <w:t>（含延长部分）</w:t>
      </w:r>
      <w:r>
        <w:rPr>
          <w:rFonts w:hint="eastAsia" w:ascii="仿宋_GB2312" w:hAnsi="仿宋_GB2312" w:eastAsia="仿宋_GB2312" w:cs="仿宋_GB2312"/>
          <w:bCs/>
          <w:color w:val="000000"/>
          <w:sz w:val="28"/>
          <w:szCs w:val="28"/>
        </w:rPr>
        <w:t>最长</w:t>
      </w:r>
      <w:r>
        <w:rPr>
          <w:rFonts w:hint="eastAsia" w:ascii="仿宋_GB2312" w:hAnsi="仿宋_GB2312" w:eastAsia="仿宋_GB2312" w:cs="仿宋_GB2312"/>
          <w:color w:val="000000"/>
          <w:kern w:val="0"/>
          <w:sz w:val="28"/>
          <w:szCs w:val="28"/>
        </w:rPr>
        <w:t>不能超过24个月。</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由他人原因造成的缺陷，发包人负责组织维修，承包人不承担费用，且发包人不得从保证金中扣除费用。</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15.2.3 任何一项缺陷或损坏修复后，经检查证明其影响了工程或工程设备的使用性能，承包人应重新进行合同约定的试验和试运行，试验和试运行的全部费用应由责任方承担。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66" w:name="_Toc351203601"/>
      <w:bookmarkStart w:id="367" w:name="_Toc337558818"/>
      <w:bookmarkStart w:id="368" w:name="_Toc296503115"/>
      <w:bookmarkStart w:id="369" w:name="_Toc296346616"/>
      <w:r>
        <w:rPr>
          <w:rFonts w:hint="eastAsia" w:ascii="仿宋_GB2312" w:hAnsi="仿宋_GB2312" w:eastAsia="仿宋_GB2312" w:cs="仿宋_GB2312"/>
          <w:b/>
          <w:bCs w:val="0"/>
          <w:color w:val="000000"/>
          <w:sz w:val="28"/>
          <w:szCs w:val="28"/>
        </w:rPr>
        <w:t>15.3 质量保证金</w:t>
      </w:r>
      <w:bookmarkEnd w:id="366"/>
    </w:p>
    <w:bookmarkEnd w:id="367"/>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经合同当事人协商一致扣留质量保证金的，应在专用合同条款中予以明确。</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在工程项目竣工前，承包人已经提供履约担保的，发包人不得同时预留工程质量保证金。</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15.3.1 承包人提供质量保证金的方式</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承包人提供质量保证金有以下三种方式：</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（1）质量保证金保函； </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（2）相应比例的工程款；</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（3）双方约定的其他方式。</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除专用合同条款另有约定外，质量保证金原则上采用上述第（1）种方式。</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15.3.2 质量保证金的扣留</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质量保证金的扣留有以下三种方式：</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（1）在支付工程进度款时逐次扣留，在此情形下，质量保证金的计算基数不包括预付款的支付、扣回以及价格调整的金额；</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（2）工</w:t>
      </w:r>
      <w:bookmarkStart w:id="370" w:name="#go6"/>
      <w:bookmarkEnd w:id="370"/>
      <w:r>
        <w:rPr>
          <w:rFonts w:hint="eastAsia" w:ascii="仿宋_GB2312" w:hAnsi="仿宋_GB2312" w:eastAsia="仿宋_GB2312" w:cs="仿宋_GB2312"/>
          <w:color w:val="000000"/>
          <w:kern w:val="0"/>
          <w:sz w:val="28"/>
          <w:szCs w:val="28"/>
        </w:rPr>
        <w:t>程竣工结算时一次性扣留质量保证金；</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（3）双方约定的其他扣留方式。</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除专用合同条款另有约定外，质量保证金的扣留原则上采用上述第（1）种方式。</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w:t>
      </w:r>
      <w:bookmarkStart w:id="371" w:name="#go4"/>
      <w:bookmarkEnd w:id="371"/>
      <w:r>
        <w:rPr>
          <w:rFonts w:hint="eastAsia" w:ascii="仿宋_GB2312" w:hAnsi="仿宋_GB2312" w:eastAsia="仿宋_GB2312" w:cs="仿宋_GB2312"/>
          <w:color w:val="000000"/>
          <w:kern w:val="0"/>
          <w:sz w:val="28"/>
          <w:szCs w:val="28"/>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发包人在退还质量保证金的同时按照中国人民银行发布的同期同类贷款基准利率支付利息。</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 xml:space="preserve">15.3.3 </w:t>
      </w:r>
      <w:r>
        <w:rPr>
          <w:rFonts w:hint="eastAsia" w:ascii="仿宋_GB2312" w:hAnsi="仿宋_GB2312" w:eastAsia="仿宋_GB2312" w:cs="仿宋_GB2312"/>
          <w:b/>
          <w:bCs/>
          <w:color w:val="000000"/>
          <w:sz w:val="28"/>
          <w:szCs w:val="28"/>
        </w:rPr>
        <w:t>质量保证金</w:t>
      </w:r>
      <w:r>
        <w:rPr>
          <w:rFonts w:hint="eastAsia" w:ascii="仿宋_GB2312" w:hAnsi="仿宋_GB2312" w:eastAsia="仿宋_GB2312" w:cs="仿宋_GB2312"/>
          <w:b/>
          <w:bCs/>
          <w:color w:val="000000"/>
          <w:kern w:val="0"/>
          <w:sz w:val="28"/>
          <w:szCs w:val="28"/>
        </w:rPr>
        <w:t>的退还</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缺陷责任期内，承包人认真履行合同约定的责任，到期后，承包人可向发包人申请返还保证金。</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发包人和承包人对保证金预留、返还以及工程维修质量、费用有争议的，按本合同第20条约定的争议和纠纷解决程序处理。</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72" w:name="_Toc351203602"/>
      <w:bookmarkStart w:id="373" w:name="_Toc337558819"/>
      <w:r>
        <w:rPr>
          <w:rFonts w:hint="eastAsia" w:ascii="仿宋_GB2312" w:hAnsi="仿宋_GB2312" w:eastAsia="仿宋_GB2312" w:cs="仿宋_GB2312"/>
          <w:b/>
          <w:bCs w:val="0"/>
          <w:color w:val="000000"/>
          <w:sz w:val="28"/>
          <w:szCs w:val="28"/>
        </w:rPr>
        <w:t>15.4 保修</w:t>
      </w:r>
      <w:bookmarkEnd w:id="372"/>
    </w:p>
    <w:bookmarkEnd w:id="368"/>
    <w:bookmarkEnd w:id="369"/>
    <w:bookmarkEnd w:id="373"/>
    <w:p>
      <w:pPr>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15.4.1保修责任</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发包人未经竣工验收擅自使用工程的，保修期自</w:t>
      </w:r>
      <w:r>
        <w:rPr>
          <w:rFonts w:hint="eastAsia" w:ascii="仿宋_GB2312" w:hAnsi="仿宋_GB2312" w:eastAsia="仿宋_GB2312" w:cs="仿宋_GB2312"/>
          <w:color w:val="000000"/>
          <w:kern w:val="0"/>
          <w:sz w:val="28"/>
          <w:szCs w:val="28"/>
        </w:rPr>
        <w:t>转移占有之日起算</w:t>
      </w:r>
      <w:r>
        <w:rPr>
          <w:rFonts w:hint="eastAsia" w:ascii="仿宋_GB2312" w:hAnsi="仿宋_GB2312" w:eastAsia="仿宋_GB2312" w:cs="仿宋_GB2312"/>
          <w:color w:val="000000"/>
          <w:sz w:val="28"/>
          <w:szCs w:val="28"/>
        </w:rPr>
        <w:t>。</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15.4.2 修复费用</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保修期内，修复的费用按照以下约定处理：</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（1）保修期内，因承包人原因造成工程的缺陷、损坏，承包人应负责修复，并承担修复的费用以及因工程的缺陷、损坏造成的人身伤害和财产损失；</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（2）保修期内，因发包人使用不当造成工程的缺陷、损坏，可以委托承包人修复，但发包人应承担修复的费用，并支付承包人合理利润；</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（3）因其他原因造成工程的缺陷、损坏，可以委托承包人修复，发包人应承担修复的费用，并支付承包人合理的利润，因工程的缺陷、损坏造成的人身伤害和财产损失由责任方承担。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15.4.3 修复通知</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15.4.4 未能修复</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15.4.5 承包人出入权</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374" w:name="_Toc351203603"/>
      <w:bookmarkStart w:id="375" w:name="_Toc337558820"/>
      <w:r>
        <w:rPr>
          <w:rFonts w:hint="eastAsia" w:ascii="仿宋_GB2312" w:hAnsi="仿宋_GB2312" w:eastAsia="仿宋_GB2312" w:cs="仿宋_GB2312"/>
          <w:b/>
          <w:bCs w:val="0"/>
          <w:color w:val="000000"/>
          <w:sz w:val="28"/>
          <w:szCs w:val="28"/>
        </w:rPr>
        <w:t>16. 违约</w:t>
      </w:r>
      <w:bookmarkEnd w:id="374"/>
    </w:p>
    <w:bookmarkEnd w:id="375"/>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76" w:name="_Toc296503129"/>
      <w:bookmarkStart w:id="377" w:name="_Toc296346630"/>
      <w:bookmarkStart w:id="378" w:name="_Toc351203604"/>
      <w:bookmarkStart w:id="379" w:name="_Toc337558821"/>
      <w:r>
        <w:rPr>
          <w:rFonts w:hint="eastAsia" w:ascii="仿宋_GB2312" w:hAnsi="仿宋_GB2312" w:eastAsia="仿宋_GB2312" w:cs="仿宋_GB2312"/>
          <w:b/>
          <w:bCs w:val="0"/>
          <w:color w:val="000000"/>
          <w:sz w:val="28"/>
          <w:szCs w:val="28"/>
        </w:rPr>
        <w:t>16.1 发</w:t>
      </w:r>
      <w:bookmarkEnd w:id="376"/>
      <w:bookmarkEnd w:id="377"/>
      <w:r>
        <w:rPr>
          <w:rFonts w:hint="eastAsia" w:ascii="仿宋_GB2312" w:hAnsi="仿宋_GB2312" w:eastAsia="仿宋_GB2312" w:cs="仿宋_GB2312"/>
          <w:b/>
          <w:bCs w:val="0"/>
          <w:color w:val="000000"/>
          <w:sz w:val="28"/>
          <w:szCs w:val="28"/>
        </w:rPr>
        <w:t>包人违约</w:t>
      </w:r>
      <w:bookmarkEnd w:id="378"/>
    </w:p>
    <w:bookmarkEnd w:id="379"/>
    <w:p>
      <w:pPr>
        <w:autoSpaceDE/>
        <w:autoSpaceDN/>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16.1.1 发包人违约的情形</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在合同履行过程中发生的下列情形，属于发包人违约：</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（1）因发包人原因未能在计划开工日期前7天内下达开工通知的；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（2）因发包人原因未能按合同约定支付合同价款的；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（3）发包人违反第10.1款〔变更的范围〕第（2）项约定，自行实施被取消的工作或转由他人实施的；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（4）发包人提供的材料、工程设备的规格、数量或质量不符合合同约定，或因发包人原因导致交货日期延误或交货地点变更等情况的；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（5）因发包人违反合同约定造成暂停施工的；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（6）发包人无正当理由没有在约定期限内发出复工指示，导致承包人无法复工的；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（7）发包人明确表示或者以其行为表明不履行合同主要义务的；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（8）发包人未能按照合同约定履行其他义务的。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16.1.2 发包人违约的责任</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发包人应承担因其违约给承包人增加的费用和（或）延误的工期，并支付承包人合理的利润。此外，合同当事人可在专用合同条款中另行约定发包人违约责任的承担方式和计算方法。</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16.1.3 因发包人违约解除合同</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rPr>
        <w:t>16.1.4 因发包人违约解除合同后的付款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承包人按照本款约定解除合同的，发包人应在解除合同后28天内支付下列款项，并解除履约担保：</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（1）合同解除前所完成工作的价款；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（2）承包人为工程施工订购并已付款的材料、工程设备和其他物品的价款；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（3）承包人撤离施工现场以及遣散承包人人员的款项；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（4）按照合同约定在合同解除前应支付的违约金；</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（5）按照合同约定应当支付给承包人的其他款项；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（6）按照合同约定应退还的质量保证金；</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（7）因解除合同给承包人造成的损失。</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合同当事人未能就解除合同后的结清达成一致的，按照第20条〔争议解决〕的约定处理。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承包人应妥善做好已完工程和与工程有关的已购材料、工程设备的保护和移交工作，并将施工设备和人员撤出施工现场，发包人应为承包人撤出提供必要条件。</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80" w:name="_Toc351203605"/>
      <w:bookmarkStart w:id="381" w:name="_Toc337558822"/>
      <w:bookmarkStart w:id="382" w:name="_Toc296503131"/>
      <w:bookmarkStart w:id="383" w:name="_Toc296346632"/>
      <w:r>
        <w:rPr>
          <w:rFonts w:hint="eastAsia" w:ascii="仿宋_GB2312" w:hAnsi="仿宋_GB2312" w:eastAsia="仿宋_GB2312" w:cs="仿宋_GB2312"/>
          <w:b/>
          <w:bCs w:val="0"/>
          <w:color w:val="000000"/>
          <w:sz w:val="28"/>
          <w:szCs w:val="28"/>
        </w:rPr>
        <w:t>16.2 承包人违约</w:t>
      </w:r>
      <w:bookmarkEnd w:id="380"/>
    </w:p>
    <w:bookmarkEnd w:id="381"/>
    <w:bookmarkEnd w:id="382"/>
    <w:bookmarkEnd w:id="383"/>
    <w:p>
      <w:pPr>
        <w:autoSpaceDE/>
        <w:autoSpaceDN/>
        <w:adjustRightInd w:val="0"/>
        <w:spacing w:beforeLines="0" w:afterLines="0" w:line="560" w:lineRule="exact"/>
        <w:ind w:firstLine="562" w:firstLineChars="200"/>
        <w:jc w:val="left"/>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16.2.1 承包人违约的情形</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在合同履行过程中发生的下列情形，属于承包人违约：</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（1）承包人违反合同约定进行转包或违法分包的；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（2）承包人违反合同约定采购和使用不合格的材料和工程设备的；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（3）因承包人原因导致工程质量不符合合同要求的； </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（4）承包人违反第8.9款〔材料与设备专用要求〕的约定，未经批准，私自将已按照合同约定进入施工现场的材料或设备撤离施工现场的；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（5）承包人未能按施工进度计划及时完成合同约定的工作，造成工期延误的；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（6）承包人在缺陷责任期及保修期内，未能在合理期限对工程缺陷进行修复，或拒绝按发包人要求进行修复的；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（7）承包人明确表示或者以其行为表明不履行合同主要义务的；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（8）承包人未能按照合同约定履行其他义务的。</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承包人发生除本项第（7）目约定以外的其他违约情况时，监理人可向承包人发出整改通知，要求其在指定的期限内改正。</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16.2.2 承包人违约的责任</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承包人应承担因其违约行为而增加的费用和（或）延误的工期。此外，合同当事人可在专用合同条款中另行约定承包人违约责任的承担方式和计算方法。</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16.2.3 因承包人违约解除合同</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16.2.4因承包人违约解除合同后的处理</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因承包人原因导致合同解除的，则合同当事人应在合同解除后28天内完成估价、付款和清算，并按以下约定执行：</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（1）合同解除后，按第4.4款〔商定或确定〕商定或确定承包人实际完成工作对应的合同价款，以及承包人已提供的材料、工程设备、施工设备和临时工程等的价值；</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（2）合同解除后，承包人应支付的违约金；</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（3）合同解除后，因解除合同给发包人造成的损失；</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（4）合同解除后，承包人应按照发包人要求和监理人的指示完成现场的清理和撤离；</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（5）发包人和承包人应在合同解除后进行清算，出具最终结清付款证书，结清全部款项。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因承包人违约解除合同的，发包人有权暂停对承包人的付款，查清各项付款和已扣款项。发包人和承包人未能就合同解除后的清算和款项支付达成一致的，按照第20条〔争议解决〕的约定处理。</w:t>
      </w:r>
    </w:p>
    <w:p>
      <w:pPr>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16.2.5采购合同权益转让</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84" w:name="_Toc351203606"/>
      <w:r>
        <w:rPr>
          <w:rFonts w:hint="eastAsia" w:ascii="仿宋_GB2312" w:hAnsi="仿宋_GB2312" w:eastAsia="仿宋_GB2312" w:cs="仿宋_GB2312"/>
          <w:b/>
          <w:bCs w:val="0"/>
          <w:color w:val="000000"/>
          <w:sz w:val="28"/>
          <w:szCs w:val="28"/>
        </w:rPr>
        <w:t>16.3 第三人造成的违约</w:t>
      </w:r>
      <w:bookmarkEnd w:id="384"/>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在履行合同过程中，一方当事人因第三人的原因造成违约的，应当向对方当事人承担违约责任。一方当事人和第三人之间的纠纷，依照法律规定或者按照约定解决。</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385" w:name="_Toc351203607"/>
      <w:bookmarkStart w:id="386" w:name="_Toc296503116"/>
      <w:bookmarkStart w:id="387" w:name="_Toc337558823"/>
      <w:bookmarkStart w:id="388" w:name="_Toc296346617"/>
      <w:r>
        <w:rPr>
          <w:rFonts w:hint="eastAsia" w:ascii="仿宋_GB2312" w:hAnsi="仿宋_GB2312" w:eastAsia="仿宋_GB2312" w:cs="仿宋_GB2312"/>
          <w:b/>
          <w:bCs w:val="0"/>
          <w:color w:val="000000"/>
          <w:sz w:val="28"/>
          <w:szCs w:val="28"/>
        </w:rPr>
        <w:t>17. 不可抗力</w:t>
      </w:r>
      <w:bookmarkEnd w:id="385"/>
      <w:r>
        <w:rPr>
          <w:rFonts w:hint="eastAsia" w:ascii="仿宋_GB2312" w:hAnsi="仿宋_GB2312" w:eastAsia="仿宋_GB2312" w:cs="仿宋_GB2312"/>
          <w:b/>
          <w:bCs w:val="0"/>
          <w:color w:val="000000"/>
          <w:sz w:val="28"/>
          <w:szCs w:val="28"/>
        </w:rPr>
        <w:t xml:space="preserve"> </w:t>
      </w:r>
      <w:bookmarkEnd w:id="386"/>
      <w:bookmarkEnd w:id="387"/>
      <w:bookmarkEnd w:id="388"/>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89" w:name="_Toc351203608"/>
      <w:bookmarkStart w:id="390" w:name="_Toc296503117"/>
      <w:bookmarkStart w:id="391" w:name="_Toc337558824"/>
      <w:bookmarkStart w:id="392" w:name="_Toc296346618"/>
      <w:r>
        <w:rPr>
          <w:rFonts w:hint="eastAsia" w:ascii="仿宋_GB2312" w:hAnsi="仿宋_GB2312" w:eastAsia="仿宋_GB2312" w:cs="仿宋_GB2312"/>
          <w:b/>
          <w:bCs w:val="0"/>
          <w:color w:val="000000"/>
          <w:sz w:val="28"/>
          <w:szCs w:val="28"/>
        </w:rPr>
        <w:t>17.1 不可抗力的确认</w:t>
      </w:r>
      <w:bookmarkEnd w:id="389"/>
    </w:p>
    <w:bookmarkEnd w:id="390"/>
    <w:bookmarkEnd w:id="391"/>
    <w:bookmarkEnd w:id="392"/>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不可抗力是指合同当事人在签订合同时不可预见，在合同履行过程中不可避免且不能克服的自然灾害和社会性突发事件，如地震、海啸、瘟疫、骚乱、戒严、暴动、战争和专用合同条款中约定的其他情形。</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93" w:name="_Toc351203609"/>
      <w:bookmarkStart w:id="394" w:name="_Toc296346619"/>
      <w:bookmarkStart w:id="395" w:name="_Toc296503118"/>
      <w:bookmarkStart w:id="396" w:name="_Toc337558825"/>
      <w:r>
        <w:rPr>
          <w:rFonts w:hint="eastAsia" w:ascii="仿宋_GB2312" w:hAnsi="仿宋_GB2312" w:eastAsia="仿宋_GB2312" w:cs="仿宋_GB2312"/>
          <w:b/>
          <w:bCs w:val="0"/>
          <w:color w:val="000000"/>
          <w:sz w:val="28"/>
          <w:szCs w:val="28"/>
        </w:rPr>
        <w:t>17.2 不可抗力的通知</w:t>
      </w:r>
      <w:bookmarkEnd w:id="393"/>
    </w:p>
    <w:bookmarkEnd w:id="394"/>
    <w:bookmarkEnd w:id="395"/>
    <w:bookmarkEnd w:id="396"/>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合同一方当事人遇到不可抗力事件，使其履行合同义务受到阻碍时，应立即通知合同另一方当事人和监理人，书面说明不可抗力和受阻碍的详细情况，并提供必要的证明。</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不可抗力持续发生的，合同一方当事人应及时向合同另一方当事人和监理人提交中间报告，说明不可抗力和履行合同受阻的情况，并于不可抗力事件结束后28天内提交最终报告及有关资料。</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397" w:name="_Toc351203610"/>
      <w:bookmarkStart w:id="398" w:name="_Toc296346620"/>
      <w:bookmarkStart w:id="399" w:name="_Toc337558826"/>
      <w:bookmarkStart w:id="400" w:name="_Toc296503119"/>
      <w:r>
        <w:rPr>
          <w:rFonts w:hint="eastAsia" w:ascii="仿宋_GB2312" w:hAnsi="仿宋_GB2312" w:eastAsia="仿宋_GB2312" w:cs="仿宋_GB2312"/>
          <w:b/>
          <w:bCs w:val="0"/>
          <w:color w:val="000000"/>
          <w:sz w:val="28"/>
          <w:szCs w:val="28"/>
        </w:rPr>
        <w:t>17.3 不可抗力后果的承担</w:t>
      </w:r>
      <w:bookmarkEnd w:id="397"/>
    </w:p>
    <w:bookmarkEnd w:id="398"/>
    <w:bookmarkEnd w:id="399"/>
    <w:bookmarkEnd w:id="400"/>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val="0"/>
          <w:bCs/>
          <w:color w:val="000000"/>
          <w:kern w:val="0"/>
          <w:sz w:val="28"/>
          <w:szCs w:val="28"/>
        </w:rPr>
        <w:t>17.3.1 不可抗力引起的后果及造成的损失由合同当事人按照</w:t>
      </w:r>
      <w:r>
        <w:rPr>
          <w:rFonts w:hint="eastAsia" w:ascii="仿宋_GB2312" w:hAnsi="仿宋_GB2312" w:eastAsia="仿宋_GB2312" w:cs="仿宋_GB2312"/>
          <w:color w:val="000000"/>
          <w:kern w:val="0"/>
          <w:sz w:val="28"/>
          <w:szCs w:val="28"/>
        </w:rPr>
        <w:t>法律规定及合同约定各自承担。不可抗力发生前已完成的工程应当按照合同约定进行计量支付。</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17.3.2 不可抗力导致的人员伤亡、财产损失、费用增加和（或）工期延误等后果，由合同当事人按以下原则承担：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（1）永久工程、已运至施工现场的材料和工程设备的损坏，以及因工程损坏造成的第三人人员伤亡和财产损失由发包人承担；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（2）承包人施工设备的损坏由承包人承担；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（3）发包人和承包人承担各自人员伤亡和财产的损失；</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（4）因不可抗力影响承包人履行合同约定的义务，已经引起或将引起工期延误的，应当顺延工期，由此导致承包人停工的费用损失由发包人和承包人合理分担，停工期间必须支付的工人工资由发包人承担；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（5）因不可抗力引起或将引起工期延误，发包人要求赶工的，由此增加的赶工费用由发包人承担；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（6）承包人在停工期间按照发包人要求照管、清理和修复工程的费用由发包人承担。</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不可抗力发生后，合同当事人均应采取措施尽量避免和减少损失的扩大，任何一方当事人没有采取有效措施导致损失扩大的，应对扩大的损失承担责任。</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因合同一方迟延履行合同义务，在迟延履行期间遭遇不可抗力的，不免除其违约责任。</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01" w:name="_Toc351203611"/>
      <w:bookmarkStart w:id="402" w:name="_Toc337558827"/>
      <w:r>
        <w:rPr>
          <w:rFonts w:hint="eastAsia" w:ascii="仿宋_GB2312" w:hAnsi="仿宋_GB2312" w:eastAsia="仿宋_GB2312" w:cs="仿宋_GB2312"/>
          <w:b/>
          <w:bCs w:val="0"/>
          <w:color w:val="000000"/>
          <w:sz w:val="28"/>
          <w:szCs w:val="28"/>
        </w:rPr>
        <w:t>17.4 因不可抗力解除合同</w:t>
      </w:r>
      <w:bookmarkEnd w:id="401"/>
    </w:p>
    <w:bookmarkEnd w:id="402"/>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因不可抗力导致合同无法履行连续超过84天或累计超过140天的，发包人和承包人均有权解除合同。合同解除后，由双方当事人按照第4.4款〔商定或确定〕商定或确定发包人应支付的款项，该款项包括：</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（1）合同解除前承包人已完成工作的价款；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（2）承包人为工程订购的并已交付给承包人，或承包人有责任接受交付的材料、工程设备和其他物品的价款；</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（3）发包人要求承包人退货或解除订货合同而产生的费用，或因不能退货或解除合同而产生的损失；</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（4）承包人撤离施工现场以及遣散承包人人员的费用；</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（5）按照合同约定在合同解除前应支付给承包人的其他款项；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（6）扣减承包人按照合同约定应向发包人支付的款项；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（7）双方商定或确定的其他款项。</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除专用合同条款另有约定外，合同解除后，发包人应在商定或确定上述款项后28天内完成上述款项的支付。</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403" w:name="_Toc351203612"/>
      <w:bookmarkStart w:id="404" w:name="_Toc296346621"/>
      <w:bookmarkStart w:id="405" w:name="_Toc337558828"/>
      <w:bookmarkStart w:id="406" w:name="_Toc296503120"/>
      <w:r>
        <w:rPr>
          <w:rFonts w:hint="eastAsia" w:ascii="仿宋_GB2312" w:hAnsi="仿宋_GB2312" w:eastAsia="仿宋_GB2312" w:cs="仿宋_GB2312"/>
          <w:b/>
          <w:bCs w:val="0"/>
          <w:color w:val="000000"/>
          <w:sz w:val="28"/>
          <w:szCs w:val="28"/>
        </w:rPr>
        <w:t>18. 保险</w:t>
      </w:r>
      <w:bookmarkEnd w:id="403"/>
    </w:p>
    <w:bookmarkEnd w:id="404"/>
    <w:bookmarkEnd w:id="405"/>
    <w:bookmarkEnd w:id="406"/>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07" w:name="_Toc351203613"/>
      <w:bookmarkStart w:id="408" w:name="_Toc337558829"/>
      <w:bookmarkStart w:id="409" w:name="_Toc296503121"/>
      <w:bookmarkStart w:id="410" w:name="_Toc296346622"/>
      <w:r>
        <w:rPr>
          <w:rFonts w:hint="eastAsia" w:ascii="仿宋_GB2312" w:hAnsi="仿宋_GB2312" w:eastAsia="仿宋_GB2312" w:cs="仿宋_GB2312"/>
          <w:b/>
          <w:bCs w:val="0"/>
          <w:color w:val="000000"/>
          <w:sz w:val="28"/>
          <w:szCs w:val="28"/>
        </w:rPr>
        <w:t>18.1 工程保险</w:t>
      </w:r>
      <w:bookmarkEnd w:id="407"/>
    </w:p>
    <w:bookmarkEnd w:id="408"/>
    <w:bookmarkEnd w:id="409"/>
    <w:bookmarkEnd w:id="410"/>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除专用合同条款另有约定外，发包人应投保建筑工程一切险或安装工程一切险；发包人委托承包人投保的，因投保产生的保险费和其他相关费用由发包人承担。</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11" w:name="_Toc351203614"/>
      <w:bookmarkStart w:id="412" w:name="_Toc337558830"/>
      <w:bookmarkStart w:id="413" w:name="_Toc296503122"/>
      <w:bookmarkStart w:id="414" w:name="_Toc296346623"/>
      <w:r>
        <w:rPr>
          <w:rFonts w:hint="eastAsia" w:ascii="仿宋_GB2312" w:hAnsi="仿宋_GB2312" w:eastAsia="仿宋_GB2312" w:cs="仿宋_GB2312"/>
          <w:b/>
          <w:bCs w:val="0"/>
          <w:color w:val="000000"/>
          <w:sz w:val="28"/>
          <w:szCs w:val="28"/>
        </w:rPr>
        <w:t>18.2 工伤保险</w:t>
      </w:r>
      <w:bookmarkEnd w:id="411"/>
    </w:p>
    <w:bookmarkEnd w:id="412"/>
    <w:bookmarkEnd w:id="413"/>
    <w:bookmarkEnd w:id="414"/>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18.2.1 发包人应依照法律规定参加工伤保险，并为在施工现场的全部员工办理工伤保险，缴纳工伤保险费，并要求监理人及由发包人为履行合同聘请的第三方依法参加工伤保险。</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18.2.2 承包人应依照法律规定参加工伤保险，并为其履行合同的全部员工办理工伤保险，缴纳工伤保险费，并要求分包人及由承包人为履行合同聘请的第三方依法参加工伤保险。</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15" w:name="_Toc351203615"/>
      <w:bookmarkStart w:id="416" w:name="_Toc337558831"/>
      <w:bookmarkStart w:id="417" w:name="_Toc296346626"/>
      <w:bookmarkStart w:id="418" w:name="_Toc296503125"/>
      <w:r>
        <w:rPr>
          <w:rFonts w:hint="eastAsia" w:ascii="仿宋_GB2312" w:hAnsi="仿宋_GB2312" w:eastAsia="仿宋_GB2312" w:cs="仿宋_GB2312"/>
          <w:b/>
          <w:bCs w:val="0"/>
          <w:color w:val="000000"/>
          <w:sz w:val="28"/>
          <w:szCs w:val="28"/>
        </w:rPr>
        <w:t>18.3其他保险</w:t>
      </w:r>
      <w:bookmarkEnd w:id="415"/>
    </w:p>
    <w:bookmarkEnd w:id="416"/>
    <w:bookmarkEnd w:id="417"/>
    <w:bookmarkEnd w:id="418"/>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发包人和承包人可以为其施工现场的全部人员办理意外伤害保险并支付保险费，包括其员工及为履行合同聘请的第三方的人员，具体事项由合同当事人在专用合同条款约定。</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除专用合同条款另有约定外，承包人应为其施工设备等办理财产保险。</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19" w:name="_Toc351203616"/>
      <w:r>
        <w:rPr>
          <w:rFonts w:hint="eastAsia" w:ascii="仿宋_GB2312" w:hAnsi="仿宋_GB2312" w:eastAsia="仿宋_GB2312" w:cs="仿宋_GB2312"/>
          <w:b/>
          <w:bCs w:val="0"/>
          <w:color w:val="000000"/>
          <w:sz w:val="28"/>
          <w:szCs w:val="28"/>
        </w:rPr>
        <w:t>18.4持续保险</w:t>
      </w:r>
      <w:bookmarkEnd w:id="419"/>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合同当事人应与保险人保持联系，使保险人能够随时了解工程实施中的变动，并确保按保险合同条款要求持续保险。</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20" w:name="_Toc351203617"/>
      <w:bookmarkStart w:id="421" w:name="_Toc296346627"/>
      <w:bookmarkStart w:id="422" w:name="_Toc296503126"/>
      <w:bookmarkStart w:id="423" w:name="_Toc337558832"/>
      <w:r>
        <w:rPr>
          <w:rFonts w:hint="eastAsia" w:ascii="仿宋_GB2312" w:hAnsi="仿宋_GB2312" w:eastAsia="仿宋_GB2312" w:cs="仿宋_GB2312"/>
          <w:b/>
          <w:bCs w:val="0"/>
          <w:color w:val="000000"/>
          <w:sz w:val="28"/>
          <w:szCs w:val="28"/>
        </w:rPr>
        <w:t>18.5 保险凭证</w:t>
      </w:r>
      <w:bookmarkEnd w:id="420"/>
    </w:p>
    <w:bookmarkEnd w:id="421"/>
    <w:bookmarkEnd w:id="422"/>
    <w:bookmarkEnd w:id="423"/>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合同当事人应及时向另一方当事人提交其已投保的各项保险的凭证和保险单复印件。</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24" w:name="_Toc351203618"/>
      <w:bookmarkStart w:id="425" w:name="_Toc337558833"/>
      <w:bookmarkStart w:id="426" w:name="_Toc296346628"/>
      <w:bookmarkStart w:id="427" w:name="_Toc296503127"/>
      <w:r>
        <w:rPr>
          <w:rFonts w:hint="eastAsia" w:ascii="仿宋_GB2312" w:hAnsi="仿宋_GB2312" w:eastAsia="仿宋_GB2312" w:cs="仿宋_GB2312"/>
          <w:b/>
          <w:bCs w:val="0"/>
          <w:color w:val="000000"/>
          <w:sz w:val="28"/>
          <w:szCs w:val="28"/>
        </w:rPr>
        <w:t>18.6 未按约定投保的补救</w:t>
      </w:r>
      <w:bookmarkEnd w:id="424"/>
    </w:p>
    <w:bookmarkEnd w:id="425"/>
    <w:bookmarkEnd w:id="426"/>
    <w:bookmarkEnd w:id="427"/>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18.6.1发包人未按合同约定办理保险，或未能使保险持续有效的，则承包人可代为办理，所需费用由发包人承担。发包人未按合同约定办理保险，导致未能得到足额赔偿的，由发包人负责补足。</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18.6.2承包人未按合同约定办理保险，或未能使保险持续有效的，则发包人可代为办理，所需费用由承包人承担。承包人未按合同约定办理保险，导致未能得到足额赔偿的，由承包人负责补足。</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28" w:name="_Toc351203619"/>
      <w:bookmarkStart w:id="429" w:name="_Toc337558834"/>
      <w:r>
        <w:rPr>
          <w:rFonts w:hint="eastAsia" w:ascii="仿宋_GB2312" w:hAnsi="仿宋_GB2312" w:eastAsia="仿宋_GB2312" w:cs="仿宋_GB2312"/>
          <w:b/>
          <w:bCs w:val="0"/>
          <w:color w:val="000000"/>
          <w:sz w:val="28"/>
          <w:szCs w:val="28"/>
        </w:rPr>
        <w:t>18.7 通知义务</w:t>
      </w:r>
      <w:bookmarkEnd w:id="428"/>
    </w:p>
    <w:bookmarkEnd w:id="429"/>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除专用合同条款另有约定外，发包人变更除工伤保险之外的保险合同时，应事先征得承包人同意，并通知监理人；承包人变更除工伤保险之外的保险合同时，应事先征得发包人同意，并通知监理人。</w:t>
      </w:r>
    </w:p>
    <w:p>
      <w:pPr>
        <w:spacing w:beforeLines="0"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保险事故发生时，投保人应按照保险合同规定的条件和期限及时向保险人报告。发包人和承包人应当在知道保险事故发生后及时通知对方。</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430" w:name="_Toc351203620"/>
      <w:bookmarkStart w:id="431" w:name="_Toc337558835"/>
      <w:bookmarkStart w:id="432" w:name="_Toc296503140"/>
      <w:bookmarkStart w:id="433" w:name="_Toc296346641"/>
      <w:r>
        <w:rPr>
          <w:rFonts w:hint="eastAsia" w:ascii="仿宋_GB2312" w:hAnsi="仿宋_GB2312" w:eastAsia="仿宋_GB2312" w:cs="仿宋_GB2312"/>
          <w:b/>
          <w:bCs w:val="0"/>
          <w:color w:val="000000"/>
          <w:sz w:val="28"/>
          <w:szCs w:val="28"/>
        </w:rPr>
        <w:t>19. 索赔</w:t>
      </w:r>
      <w:bookmarkEnd w:id="430"/>
    </w:p>
    <w:bookmarkEnd w:id="431"/>
    <w:bookmarkEnd w:id="432"/>
    <w:bookmarkEnd w:id="433"/>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34" w:name="_Toc351203621"/>
      <w:bookmarkStart w:id="435" w:name="_Toc296346642"/>
      <w:bookmarkStart w:id="436" w:name="_Toc296503141"/>
      <w:bookmarkStart w:id="437" w:name="_Toc337558836"/>
      <w:r>
        <w:rPr>
          <w:rFonts w:hint="eastAsia" w:ascii="仿宋_GB2312" w:hAnsi="仿宋_GB2312" w:eastAsia="仿宋_GB2312" w:cs="仿宋_GB2312"/>
          <w:b/>
          <w:bCs w:val="0"/>
          <w:color w:val="000000"/>
          <w:sz w:val="28"/>
          <w:szCs w:val="28"/>
        </w:rPr>
        <w:t>19.1承包人的索赔</w:t>
      </w:r>
      <w:bookmarkEnd w:id="434"/>
    </w:p>
    <w:bookmarkEnd w:id="435"/>
    <w:bookmarkEnd w:id="436"/>
    <w:bookmarkEnd w:id="437"/>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根据合同约定，承包人认为有权得到追加付款和（或）延长工期的，应按以下程序向发包人提出索赔：</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（1）承包人应在知道或应当知道索赔事件发生后28天内，向监理人递交索赔意向通知书，并说明发生索赔事件的事由；承包人未在前述28天内发出索赔意向通知书的，丧失要求追加付款和（或）延长工期的权利；</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（2）承包人应在发出索赔意向通知书后28天内，向监理人正式递交索赔报告；索赔报告应详细说明索赔理由以及要求追加的付款金额和（或）延长的工期，并附必要的记录和证明材料；</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（3）索赔事件具有持续影响的，承包人应按合理时间间隔继续递交延续索赔通知，说明持续影响的实际情况和记录，列出累计的追加付款金额和（或）工期延长天数；</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（4）在索赔事件影响结束后28天内，承包人应向监理人递交最终索赔报告，说明最终要求索赔的追加付款金额和（或）延长的工期，并附必要的记录和证明材料。</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38" w:name="_Toc351203622"/>
      <w:bookmarkStart w:id="439" w:name="_Toc296346643"/>
      <w:bookmarkStart w:id="440" w:name="_Toc337558837"/>
      <w:bookmarkStart w:id="441" w:name="_Toc296503142"/>
      <w:r>
        <w:rPr>
          <w:rFonts w:hint="eastAsia" w:ascii="仿宋_GB2312" w:hAnsi="仿宋_GB2312" w:eastAsia="仿宋_GB2312" w:cs="仿宋_GB2312"/>
          <w:b/>
          <w:bCs w:val="0"/>
          <w:color w:val="000000"/>
          <w:sz w:val="28"/>
          <w:szCs w:val="28"/>
        </w:rPr>
        <w:t>19.2 对承包人索赔的处理</w:t>
      </w:r>
      <w:bookmarkEnd w:id="438"/>
    </w:p>
    <w:bookmarkEnd w:id="439"/>
    <w:bookmarkEnd w:id="440"/>
    <w:bookmarkEnd w:id="441"/>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对承包人索赔的处理如下：</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（1）监理人应在收到索赔报告后14天内完成审查并报送发包人。监理人对索赔报告存在异议的，有权要求承包人提交全部原始记录副本；</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（2）发包人应在监理人收到索赔报告或有关索赔的进一步证明材料后的28天内，由监理人向承包人出具经发包人签认的索赔处理结果。发包人逾期答复的，则视为认可承包人的索赔要求；</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（3）承包人接受索赔处理结果的，索赔款项在当期进度款中进行支付；承包人不接受索赔处理结果的，按照第20条〔争议解决〕约定处理。</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42" w:name="_Toc351203623"/>
      <w:bookmarkStart w:id="443" w:name="_Toc296503143"/>
      <w:bookmarkStart w:id="444" w:name="_Toc296346644"/>
      <w:bookmarkStart w:id="445" w:name="_Toc337558838"/>
      <w:r>
        <w:rPr>
          <w:rFonts w:hint="eastAsia" w:ascii="仿宋_GB2312" w:hAnsi="仿宋_GB2312" w:eastAsia="仿宋_GB2312" w:cs="仿宋_GB2312"/>
          <w:b/>
          <w:bCs w:val="0"/>
          <w:color w:val="000000"/>
          <w:sz w:val="28"/>
          <w:szCs w:val="28"/>
        </w:rPr>
        <w:t>19.3发包人的索赔</w:t>
      </w:r>
      <w:bookmarkEnd w:id="442"/>
    </w:p>
    <w:bookmarkEnd w:id="443"/>
    <w:bookmarkEnd w:id="444"/>
    <w:bookmarkEnd w:id="445"/>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根据合同约定，发包人认为有权得到赔付金额和（或）延长缺陷责任期的，监理人应向承包人发出通知并附有详细的证明。</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46" w:name="_Toc351203624"/>
      <w:bookmarkStart w:id="447" w:name="_Toc296346645"/>
      <w:bookmarkStart w:id="448" w:name="_Toc337558839"/>
      <w:bookmarkStart w:id="449" w:name="_Toc296503144"/>
      <w:r>
        <w:rPr>
          <w:rFonts w:hint="eastAsia" w:ascii="仿宋_GB2312" w:hAnsi="仿宋_GB2312" w:eastAsia="仿宋_GB2312" w:cs="仿宋_GB2312"/>
          <w:b/>
          <w:bCs w:val="0"/>
          <w:color w:val="000000"/>
          <w:sz w:val="28"/>
          <w:szCs w:val="28"/>
        </w:rPr>
        <w:t>19.4 对发包人索赔的处理</w:t>
      </w:r>
      <w:bookmarkEnd w:id="446"/>
    </w:p>
    <w:bookmarkEnd w:id="447"/>
    <w:bookmarkEnd w:id="448"/>
    <w:bookmarkEnd w:id="449"/>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对发包人索赔的处理如下：</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（1）承包人收到发包人提交的索赔报告后，应及时审查索赔报告的内容、查验发包人证明材料；</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（2）承包人应在收到索赔报告或有关索赔的进一步证明材料后28天内，将索赔处理结果答复发包人。如果承包人未在上述期限内作出答复的，则视为对发包人索赔要求的认可；</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（3）承包人接受索赔处理结果的，发包人可从应支付给承包人的合同价款中扣除赔付的金额或延长缺陷责任期；发包人不接受索赔处理结果的，按第20条〔争议解决〕约定处理。</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50" w:name="_Toc351203625"/>
      <w:r>
        <w:rPr>
          <w:rFonts w:hint="eastAsia" w:ascii="仿宋_GB2312" w:hAnsi="仿宋_GB2312" w:eastAsia="仿宋_GB2312" w:cs="仿宋_GB2312"/>
          <w:b/>
          <w:bCs w:val="0"/>
          <w:color w:val="000000"/>
          <w:sz w:val="28"/>
          <w:szCs w:val="28"/>
        </w:rPr>
        <w:t>19.5 提出索赔的期限</w:t>
      </w:r>
      <w:bookmarkEnd w:id="450"/>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（1）承包人按第14.2款〔竣工结算审核〕约定接收竣工付款证书后，应被视为已无权再提出在工程接收证书颁发前所发生的任何索赔。</w:t>
      </w:r>
    </w:p>
    <w:p>
      <w:pPr>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（2）承包人按第14.4款〔最终结清〕提交的最终结清申请单中，只限于提出工程接收证书颁发后发生的索赔。提出索赔的期限自接受最终结清证书时终止。</w:t>
      </w:r>
    </w:p>
    <w:p>
      <w:pPr>
        <w:pStyle w:val="5"/>
        <w:spacing w:before="0" w:after="0" w:line="560" w:lineRule="exact"/>
        <w:jc w:val="left"/>
        <w:rPr>
          <w:rFonts w:hint="eastAsia" w:ascii="仿宋_GB2312" w:hAnsi="仿宋_GB2312" w:eastAsia="仿宋_GB2312" w:cs="仿宋_GB2312"/>
          <w:b/>
          <w:bCs w:val="0"/>
          <w:color w:val="000000"/>
          <w:sz w:val="28"/>
          <w:szCs w:val="28"/>
        </w:rPr>
      </w:pPr>
      <w:bookmarkStart w:id="451" w:name="_Toc351203626"/>
      <w:r>
        <w:rPr>
          <w:rFonts w:hint="eastAsia" w:ascii="仿宋_GB2312" w:hAnsi="仿宋_GB2312" w:eastAsia="仿宋_GB2312" w:cs="仿宋_GB2312"/>
          <w:b/>
          <w:bCs w:val="0"/>
          <w:color w:val="000000"/>
          <w:sz w:val="28"/>
          <w:szCs w:val="28"/>
        </w:rPr>
        <w:t>20</w:t>
      </w:r>
      <w:bookmarkStart w:id="452" w:name="_Toc337558840"/>
      <w:bookmarkStart w:id="453" w:name="_Toc296503146"/>
      <w:bookmarkStart w:id="454" w:name="_Toc296346647"/>
      <w:r>
        <w:rPr>
          <w:rFonts w:hint="eastAsia" w:ascii="仿宋_GB2312" w:hAnsi="仿宋_GB2312" w:eastAsia="仿宋_GB2312" w:cs="仿宋_GB2312"/>
          <w:b/>
          <w:bCs w:val="0"/>
          <w:color w:val="000000"/>
          <w:sz w:val="28"/>
          <w:szCs w:val="28"/>
        </w:rPr>
        <w:t>. 争议解决</w:t>
      </w:r>
      <w:bookmarkEnd w:id="451"/>
    </w:p>
    <w:bookmarkEnd w:id="452"/>
    <w:bookmarkEnd w:id="453"/>
    <w:bookmarkEnd w:id="454"/>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55" w:name="_Toc351203627"/>
      <w:bookmarkStart w:id="456" w:name="_Toc296346648"/>
      <w:bookmarkStart w:id="457" w:name="_Toc296503147"/>
      <w:bookmarkStart w:id="458" w:name="_Toc337558841"/>
      <w:r>
        <w:rPr>
          <w:rFonts w:hint="eastAsia" w:ascii="仿宋_GB2312" w:hAnsi="仿宋_GB2312" w:eastAsia="仿宋_GB2312" w:cs="仿宋_GB2312"/>
          <w:b/>
          <w:bCs w:val="0"/>
          <w:color w:val="000000"/>
          <w:sz w:val="28"/>
          <w:szCs w:val="28"/>
        </w:rPr>
        <w:t>20.1和解</w:t>
      </w:r>
      <w:bookmarkEnd w:id="455"/>
    </w:p>
    <w:bookmarkEnd w:id="456"/>
    <w:bookmarkEnd w:id="457"/>
    <w:bookmarkEnd w:id="458"/>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合同当事人可以就争议自行和解，自行和解达成协议的经双方签字并盖章后作为合同补充文件，双方均应遵照执行。</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59" w:name="_Toc351203628"/>
      <w:r>
        <w:rPr>
          <w:rFonts w:hint="eastAsia" w:ascii="仿宋_GB2312" w:hAnsi="仿宋_GB2312" w:eastAsia="仿宋_GB2312" w:cs="仿宋_GB2312"/>
          <w:b/>
          <w:bCs w:val="0"/>
          <w:color w:val="000000"/>
          <w:sz w:val="28"/>
          <w:szCs w:val="28"/>
        </w:rPr>
        <w:t>20</w:t>
      </w:r>
      <w:bookmarkStart w:id="460" w:name="_Toc296346649"/>
      <w:bookmarkStart w:id="461" w:name="_Toc337558842"/>
      <w:bookmarkStart w:id="462" w:name="_Toc296503148"/>
      <w:r>
        <w:rPr>
          <w:rFonts w:hint="eastAsia" w:ascii="仿宋_GB2312" w:hAnsi="仿宋_GB2312" w:eastAsia="仿宋_GB2312" w:cs="仿宋_GB2312"/>
          <w:b/>
          <w:bCs w:val="0"/>
          <w:color w:val="000000"/>
          <w:sz w:val="28"/>
          <w:szCs w:val="28"/>
        </w:rPr>
        <w:t>.2调解</w:t>
      </w:r>
      <w:bookmarkEnd w:id="459"/>
    </w:p>
    <w:bookmarkEnd w:id="460"/>
    <w:bookmarkEnd w:id="461"/>
    <w:bookmarkEnd w:id="462"/>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合同当事人可以就争议请求建设行政主管部门、行业协会或其他第三方进行调解，调解达成协议的，经双方签字并盖章后作为合同补充文件，双方均应遵照执行。</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63" w:name="_Toc351203629"/>
      <w:bookmarkStart w:id="464" w:name="_Toc296503149"/>
      <w:bookmarkStart w:id="465" w:name="_Toc337558843"/>
      <w:bookmarkStart w:id="466" w:name="_Toc296346650"/>
      <w:r>
        <w:rPr>
          <w:rFonts w:hint="eastAsia" w:ascii="仿宋_GB2312" w:hAnsi="仿宋_GB2312" w:eastAsia="仿宋_GB2312" w:cs="仿宋_GB2312"/>
          <w:b/>
          <w:bCs w:val="0"/>
          <w:color w:val="000000"/>
          <w:sz w:val="28"/>
          <w:szCs w:val="28"/>
        </w:rPr>
        <w:t>20.3争议评审</w:t>
      </w:r>
      <w:bookmarkEnd w:id="463"/>
    </w:p>
    <w:bookmarkEnd w:id="464"/>
    <w:bookmarkEnd w:id="465"/>
    <w:bookmarkEnd w:id="466"/>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合同当事人在专用合同条款中约定采取争议评审方式解决争议以及评审规则，并按下列约定执行： </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20.3.1 争议评审小组的确定</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合同当事人可以共同选择一名或三名争议评审员，组成争议评审小组。除专用合同条款另有约定外，合同当事人应当自合同签订后28天内，或者争议发生后14天内，选定争议评审员。</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除专用合同条款另有约定外，评审员报酬由发包人和承包人各承担一半。</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20.3.2 争议评审小组的决定</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pPr>
        <w:autoSpaceDE/>
        <w:autoSpaceDN/>
        <w:adjustRightInd w:val="0"/>
        <w:spacing w:beforeLines="0" w:afterLines="0"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20.3.3 争议评审小组决定的效力</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争议评审小组作出的书面决定经合同当事人签字确认后，对双方具有约束力，双方应遵照执行。</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任何一方当事人不接受争议评审小组决定或不履行争议评审小组决定的，双方可选择采用其他争议解决方式。</w:t>
      </w:r>
    </w:p>
    <w:p>
      <w:pPr>
        <w:pStyle w:val="3"/>
        <w:keepNext w:val="0"/>
        <w:keepLines w:val="0"/>
        <w:pBdr>
          <w:top w:val="none" w:color="auto" w:sz="0" w:space="0"/>
          <w:left w:val="none" w:color="auto" w:sz="0" w:space="0"/>
          <w:bottom w:val="none" w:color="auto" w:sz="0" w:space="0"/>
          <w:right w:val="none" w:color="auto" w:sz="0" w:space="0"/>
        </w:pBdr>
        <w:spacing w:before="0" w:beforeLines="0" w:beforeAutospacing="0" w:after="0" w:afterLines="0" w:afterAutospacing="0" w:line="560" w:lineRule="exact"/>
        <w:rPr>
          <w:rFonts w:hint="eastAsia" w:ascii="仿宋_GB2312" w:hAnsi="仿宋_GB2312" w:eastAsia="仿宋_GB2312" w:cs="仿宋_GB2312"/>
          <w:b/>
          <w:color w:val="000000"/>
          <w:sz w:val="28"/>
          <w:szCs w:val="28"/>
          <w:highlight w:val="none"/>
        </w:rPr>
      </w:pPr>
      <w:bookmarkStart w:id="467" w:name="_Toc351203630"/>
      <w:bookmarkStart w:id="468" w:name="_Toc337558844"/>
      <w:bookmarkStart w:id="469" w:name="_Toc296346651"/>
      <w:bookmarkStart w:id="470" w:name="_Toc296503150"/>
      <w:r>
        <w:rPr>
          <w:rFonts w:hint="eastAsia" w:ascii="仿宋_GB2312" w:hAnsi="仿宋_GB2312" w:eastAsia="仿宋_GB2312" w:cs="仿宋_GB2312"/>
          <w:b/>
          <w:color w:val="000000"/>
          <w:sz w:val="28"/>
          <w:szCs w:val="28"/>
          <w:highlight w:val="none"/>
        </w:rPr>
        <w:t>20.4仲裁或诉讼</w:t>
      </w:r>
      <w:bookmarkEnd w:id="467"/>
    </w:p>
    <w:bookmarkEnd w:id="468"/>
    <w:bookmarkEnd w:id="469"/>
    <w:bookmarkEnd w:id="470"/>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因合同及合同有关事项产生的争议，合同当事人可以在专用合同条款中约定以下一种方式解决争议：</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（1）向约定的仲裁委员会申请仲裁；</w:t>
      </w:r>
    </w:p>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（2）向有管辖权的人民法院起诉。</w:t>
      </w:r>
    </w:p>
    <w:p>
      <w:pPr>
        <w:pStyle w:val="6"/>
        <w:spacing w:before="0" w:after="0" w:line="560" w:lineRule="exact"/>
        <w:ind w:firstLine="0" w:firstLineChars="0"/>
        <w:jc w:val="left"/>
        <w:rPr>
          <w:rFonts w:hint="eastAsia" w:ascii="仿宋_GB2312" w:hAnsi="仿宋_GB2312" w:eastAsia="仿宋_GB2312" w:cs="仿宋_GB2312"/>
          <w:b/>
          <w:bCs w:val="0"/>
          <w:color w:val="000000"/>
          <w:sz w:val="28"/>
          <w:szCs w:val="28"/>
        </w:rPr>
      </w:pPr>
      <w:bookmarkStart w:id="471" w:name="_Toc351203631"/>
      <w:bookmarkStart w:id="472" w:name="_Toc296503152"/>
      <w:bookmarkStart w:id="473" w:name="_Toc296346653"/>
      <w:bookmarkStart w:id="474" w:name="_Toc337558845"/>
      <w:r>
        <w:rPr>
          <w:rFonts w:hint="eastAsia" w:ascii="仿宋_GB2312" w:hAnsi="仿宋_GB2312" w:eastAsia="仿宋_GB2312" w:cs="仿宋_GB2312"/>
          <w:b/>
          <w:bCs w:val="0"/>
          <w:color w:val="000000"/>
          <w:sz w:val="28"/>
          <w:szCs w:val="28"/>
        </w:rPr>
        <w:t>20.5争议解决条款效力</w:t>
      </w:r>
      <w:bookmarkEnd w:id="471"/>
    </w:p>
    <w:bookmarkEnd w:id="472"/>
    <w:bookmarkEnd w:id="473"/>
    <w:bookmarkEnd w:id="474"/>
    <w:p>
      <w:pPr>
        <w:autoSpaceDE/>
        <w:autoSpaceDN/>
        <w:adjustRightInd w:val="0"/>
        <w:spacing w:beforeLines="0"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合同有关争议解决的条款独立存在，合同的变更、解除、终止、无效或者被撤销均不影响其效力。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kern w:val="0"/>
          <w:sz w:val="28"/>
          <w:szCs w:val="28"/>
          <w:highlight w:val="none"/>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000000"/>
          <w:sz w:val="28"/>
          <w:szCs w:val="28"/>
          <w:highlight w:val="none"/>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第三部分 专用合同条款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color w:val="000000"/>
          <w:kern w:val="0"/>
          <w:sz w:val="28"/>
          <w:szCs w:val="28"/>
          <w:highlight w:val="none"/>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本部分以住建部GF-2020-2605范本专用合同条款为框架，对通用条款进行细化、完善，结合江门市实际新增本地化约定；本条款与通用条款不一致的，以本条款为准。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1. 一般约定</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1.1 词语定义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1.1.1 发包人：_______________________________</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1.1.2 承包人：_______________________________</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1.1.3 监理人：_______________________________（名称、资质、总监理工程师信息）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1.1.4 缺陷责任期：是指园林绿化工程通过建设单位组织的竣工验收后，施工单位按照合同约定承担工程质量不符合工程建设和养护标准、设计文件，以及承包合同约定等缺陷修复义务的期限。缺陷责任期内考核的内容包括园林植物、园林建筑、园林小品及各类设施维护，园林景观的完整性、养护管理的及时性及卫生保洁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1.1.5 绿化养护期：是指园林绿化工程通过建设单位组织的竣工验收后，施工单位按照合同约定承担园林植物养护管理的期限（自竣工验收合格之日起计算）。</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 xml:space="preserve"> 合同文件优先顺序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b w:val="0"/>
          <w:bCs w:val="0"/>
          <w:color w:val="000000"/>
          <w:kern w:val="0"/>
          <w:sz w:val="28"/>
          <w:szCs w:val="28"/>
          <w:highlight w:val="none"/>
          <w:lang w:val="en-US" w:eastAsia="zh-CN" w:bidi="ar"/>
        </w:rPr>
      </w:pPr>
      <w:r>
        <w:rPr>
          <w:rFonts w:hint="eastAsia" w:ascii="仿宋_GB2312" w:hAnsi="仿宋_GB2312" w:eastAsia="仿宋_GB2312" w:cs="仿宋_GB2312"/>
          <w:b w:val="0"/>
          <w:bCs w:val="0"/>
          <w:color w:val="000000"/>
          <w:kern w:val="0"/>
          <w:sz w:val="28"/>
          <w:szCs w:val="28"/>
          <w:highlight w:val="none"/>
          <w:lang w:val="en-US" w:eastAsia="zh-CN" w:bidi="ar"/>
        </w:rPr>
        <w:t>本合同文件解释顺序为：（1）本合同协议书；（2）中标通知书；（3）专用合同条款及其附件；（4）通用合同条款；（5）技术标准和要求；（6）图纸；（7）已标价工程量清单；（8）其他合同文件。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val="en-US" w:eastAsia="zh-CN"/>
        </w:rPr>
        <w:t>6</w:t>
      </w:r>
      <w:r>
        <w:rPr>
          <w:rFonts w:hint="eastAsia" w:ascii="仿宋_GB2312" w:hAnsi="仿宋_GB2312" w:eastAsia="仿宋_GB2312" w:cs="仿宋_GB2312"/>
          <w:color w:val="000000"/>
          <w:sz w:val="28"/>
          <w:szCs w:val="28"/>
          <w:highlight w:val="none"/>
        </w:rPr>
        <w:t xml:space="preserve"> 工程量清单错误的修正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承包人应在合同签订后7日内核查工程量清单、图纸及现场，发现差异应在3日内书面提出，逾期未提出的视为承包人认可工程量清单、图纸及现场实际情况一致，后续不再因前述差异调整合同价格；发包人5日内复核，确有错误的予以修正并调整合同价格。</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发包人</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2.1 发包人义务</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2.1</w:t>
      </w: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按合同约定组织图纸会审、技术交底，协调施工周边环境，解决施工场地、管线等相关问题。</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2.1</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及时审核承包人报送的工程量、付款申请，按约定支付</w:t>
      </w:r>
      <w:r>
        <w:rPr>
          <w:rFonts w:hint="eastAsia" w:ascii="仿宋_GB2312" w:hAnsi="仿宋_GB2312" w:eastAsia="仿宋_GB2312" w:cs="仿宋_GB2312"/>
          <w:color w:val="000000"/>
          <w:sz w:val="28"/>
          <w:szCs w:val="28"/>
          <w:highlight w:val="none"/>
          <w:lang w:val="en-US" w:eastAsia="zh-CN"/>
        </w:rPr>
        <w:t>合同</w:t>
      </w:r>
      <w:r>
        <w:rPr>
          <w:rFonts w:hint="eastAsia" w:ascii="仿宋_GB2312" w:hAnsi="仿宋_GB2312" w:eastAsia="仿宋_GB2312" w:cs="仿宋_GB2312"/>
          <w:color w:val="000000"/>
          <w:sz w:val="28"/>
          <w:szCs w:val="28"/>
          <w:highlight w:val="none"/>
        </w:rPr>
        <w:t>价款。</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2.1</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提供施工区域内现状树木</w:t>
      </w:r>
      <w:r>
        <w:rPr>
          <w:rFonts w:hint="eastAsia" w:ascii="仿宋_GB2312" w:hAnsi="仿宋_GB2312" w:eastAsia="仿宋_GB2312" w:cs="仿宋_GB2312"/>
          <w:color w:val="000000"/>
          <w:sz w:val="28"/>
          <w:szCs w:val="28"/>
          <w:highlight w:val="none"/>
          <w:lang w:eastAsia="zh-CN"/>
        </w:rPr>
        <w:t>（如有）</w:t>
      </w:r>
      <w:r>
        <w:rPr>
          <w:rFonts w:hint="eastAsia" w:ascii="仿宋_GB2312" w:hAnsi="仿宋_GB2312" w:eastAsia="仿宋_GB2312" w:cs="仿宋_GB2312"/>
          <w:color w:val="000000"/>
          <w:sz w:val="28"/>
          <w:szCs w:val="28"/>
          <w:highlight w:val="none"/>
        </w:rPr>
        <w:t>一览表</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附件 2）、现状土壤指标、地下管线资料等基础资料。</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2.1</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组织工程竣工验收及</w:t>
      </w:r>
      <w:r>
        <w:rPr>
          <w:rFonts w:hint="eastAsia" w:ascii="仿宋_GB2312" w:hAnsi="仿宋_GB2312" w:eastAsia="仿宋_GB2312" w:cs="仿宋_GB2312"/>
          <w:color w:val="000000"/>
          <w:sz w:val="28"/>
          <w:szCs w:val="28"/>
          <w:highlight w:val="none"/>
          <w:lang w:val="en-US" w:eastAsia="zh-CN"/>
        </w:rPr>
        <w:t>绿化</w:t>
      </w:r>
      <w:r>
        <w:rPr>
          <w:rFonts w:hint="eastAsia" w:ascii="仿宋_GB2312" w:hAnsi="仿宋_GB2312" w:eastAsia="仿宋_GB2312" w:cs="仿宋_GB2312"/>
          <w:color w:val="000000"/>
          <w:sz w:val="28"/>
          <w:szCs w:val="28"/>
          <w:highlight w:val="none"/>
        </w:rPr>
        <w:t>养护期专项验收。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2.2 发包人代表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b w:val="0"/>
          <w:bCs w:val="0"/>
          <w:color w:val="000000"/>
          <w:kern w:val="0"/>
          <w:sz w:val="28"/>
          <w:szCs w:val="28"/>
          <w:highlight w:val="none"/>
          <w:lang w:val="en-US" w:eastAsia="zh-CN" w:bidi="ar"/>
        </w:rPr>
        <w:t>姓名：</w:t>
      </w:r>
      <w:r>
        <w:rPr>
          <w:rFonts w:hint="eastAsia" w:ascii="仿宋_GB2312" w:hAnsi="仿宋_GB2312" w:eastAsia="仿宋_GB2312" w:cs="仿宋_GB2312"/>
          <w:b w:val="0"/>
          <w:bCs w:val="0"/>
          <w:color w:val="000000"/>
          <w:sz w:val="28"/>
          <w:szCs w:val="28"/>
          <w:highlight w:val="none"/>
          <w:u w:val="single"/>
          <w:lang w:val="en-US" w:eastAsia="zh-CN"/>
        </w:rPr>
        <w:t xml:space="preserve">               </w:t>
      </w:r>
      <w:r>
        <w:rPr>
          <w:rStyle w:val="27"/>
          <w:rFonts w:hint="eastAsia" w:ascii="仿宋_GB2312" w:hAnsi="仿宋_GB2312" w:eastAsia="仿宋_GB2312" w:cs="仿宋_GB2312"/>
          <w:b w:val="0"/>
          <w:bCs w:val="0"/>
          <w:color w:val="000000"/>
          <w:kern w:val="0"/>
          <w:sz w:val="28"/>
          <w:szCs w:val="28"/>
          <w:highlight w:val="none"/>
          <w:lang w:val="en-US" w:eastAsia="zh-CN" w:bidi="ar"/>
        </w:rPr>
        <w:t>；身份证号：</w:t>
      </w:r>
      <w:r>
        <w:rPr>
          <w:rFonts w:hint="eastAsia" w:ascii="仿宋_GB2312" w:hAnsi="仿宋_GB2312" w:eastAsia="仿宋_GB2312" w:cs="仿宋_GB2312"/>
          <w:b w:val="0"/>
          <w:bCs w:val="0"/>
          <w:color w:val="000000"/>
          <w:sz w:val="28"/>
          <w:szCs w:val="28"/>
          <w:highlight w:val="none"/>
          <w:u w:val="single"/>
          <w:lang w:val="en-US" w:eastAsia="zh-CN"/>
        </w:rPr>
        <w:t xml:space="preserve">               </w:t>
      </w:r>
      <w:r>
        <w:rPr>
          <w:rFonts w:hint="eastAsia" w:ascii="仿宋_GB2312" w:hAnsi="仿宋_GB2312" w:eastAsia="仿宋_GB2312" w:cs="仿宋_GB2312"/>
          <w:b w:val="0"/>
          <w:bCs w:val="0"/>
          <w:color w:val="000000"/>
          <w:kern w:val="0"/>
          <w:sz w:val="28"/>
          <w:szCs w:val="28"/>
          <w:highlight w:val="none"/>
          <w:lang w:val="en-US" w:eastAsia="zh-CN" w:bidi="ar"/>
        </w:rPr>
        <w:t>；职务：</w:t>
      </w:r>
      <w:r>
        <w:rPr>
          <w:rFonts w:hint="eastAsia" w:ascii="仿宋_GB2312" w:hAnsi="仿宋_GB2312" w:eastAsia="仿宋_GB2312" w:cs="仿宋_GB2312"/>
          <w:b w:val="0"/>
          <w:bCs w:val="0"/>
          <w:color w:val="000000"/>
          <w:sz w:val="28"/>
          <w:szCs w:val="28"/>
          <w:highlight w:val="none"/>
          <w:u w:val="single"/>
          <w:lang w:val="en-US" w:eastAsia="zh-CN"/>
        </w:rPr>
        <w:t xml:space="preserve">           </w:t>
      </w:r>
      <w:r>
        <w:rPr>
          <w:rStyle w:val="27"/>
          <w:rFonts w:hint="eastAsia" w:ascii="仿宋_GB2312" w:hAnsi="仿宋_GB2312" w:eastAsia="仿宋_GB2312" w:cs="仿宋_GB2312"/>
          <w:b w:val="0"/>
          <w:bCs w:val="0"/>
          <w:color w:val="000000"/>
          <w:kern w:val="0"/>
          <w:sz w:val="28"/>
          <w:szCs w:val="28"/>
          <w:highlight w:val="none"/>
          <w:lang w:val="en-US" w:eastAsia="zh-CN" w:bidi="ar"/>
        </w:rPr>
        <w:t>；联系电话：</w:t>
      </w:r>
      <w:r>
        <w:rPr>
          <w:rFonts w:hint="eastAsia" w:ascii="仿宋_GB2312" w:hAnsi="仿宋_GB2312" w:eastAsia="仿宋_GB2312" w:cs="仿宋_GB2312"/>
          <w:b w:val="0"/>
          <w:bCs w:val="0"/>
          <w:color w:val="000000"/>
          <w:sz w:val="28"/>
          <w:szCs w:val="28"/>
          <w:highlight w:val="none"/>
          <w:u w:val="single"/>
          <w:lang w:val="en-US" w:eastAsia="zh-CN"/>
        </w:rPr>
        <w:t xml:space="preserve">          </w:t>
      </w:r>
      <w:r>
        <w:rPr>
          <w:rFonts w:hint="eastAsia" w:ascii="仿宋_GB2312" w:hAnsi="仿宋_GB2312" w:eastAsia="仿宋_GB2312" w:cs="仿宋_GB2312"/>
          <w:b w:val="0"/>
          <w:bCs w:val="0"/>
          <w:color w:val="000000"/>
          <w:kern w:val="0"/>
          <w:sz w:val="28"/>
          <w:szCs w:val="28"/>
          <w:highlight w:val="none"/>
          <w:lang w:val="en-US" w:eastAsia="zh-CN" w:bidi="ar"/>
        </w:rPr>
        <w:t>；授权范围</w:t>
      </w:r>
      <w:r>
        <w:rPr>
          <w:rFonts w:hint="eastAsia" w:ascii="仿宋_GB2312" w:hAnsi="仿宋_GB2312" w:eastAsia="仿宋_GB2312" w:cs="仿宋_GB2312"/>
          <w:color w:val="000000"/>
          <w:kern w:val="0"/>
          <w:sz w:val="28"/>
          <w:szCs w:val="28"/>
          <w:highlight w:val="none"/>
          <w:lang w:val="en-US" w:eastAsia="zh-CN" w:bidi="ar"/>
        </w:rPr>
        <w:t>：</w:t>
      </w:r>
      <w:r>
        <w:rPr>
          <w:rFonts w:hint="eastAsia" w:ascii="仿宋_GB2312" w:hAnsi="仿宋_GB2312" w:eastAsia="仿宋_GB2312" w:cs="仿宋_GB2312"/>
          <w:color w:val="000000"/>
          <w:sz w:val="28"/>
          <w:szCs w:val="28"/>
          <w:highlight w:val="none"/>
          <w:u w:val="single"/>
          <w:lang w:val="en-US" w:eastAsia="zh-CN"/>
        </w:rPr>
        <w:t xml:space="preserve">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3.承包人</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3.1 承包人的一般义务</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3.1.1.</w:t>
      </w:r>
      <w:r>
        <w:rPr>
          <w:rFonts w:hint="eastAsia" w:ascii="仿宋_GB2312" w:hAnsi="仿宋_GB2312" w:eastAsia="仿宋_GB2312" w:cs="仿宋_GB2312"/>
          <w:color w:val="000000"/>
          <w:sz w:val="28"/>
          <w:szCs w:val="28"/>
          <w:highlight w:val="none"/>
        </w:rPr>
        <w:t>合同签订后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日内提交施工组织设计，内容包括苗木采购计划、种植方案、养护措施、质量保证措施等，经发包人、监理人审核后实施。</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3.1.2.</w:t>
      </w:r>
      <w:r>
        <w:rPr>
          <w:rFonts w:hint="eastAsia" w:ascii="仿宋_GB2312" w:hAnsi="仿宋_GB2312" w:eastAsia="仿宋_GB2312" w:cs="仿宋_GB2312"/>
          <w:color w:val="000000"/>
          <w:sz w:val="28"/>
          <w:szCs w:val="28"/>
          <w:highlight w:val="none"/>
        </w:rPr>
        <w:t>采购苗木前将苗木来源、苗圃情况报发包人备案，必要时配合发包人现场考察；选苗过程邀请发包人共同确认。</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3.1.3.</w:t>
      </w:r>
      <w:r>
        <w:rPr>
          <w:rFonts w:hint="eastAsia" w:ascii="仿宋_GB2312" w:hAnsi="仿宋_GB2312" w:eastAsia="仿宋_GB2312" w:cs="仿宋_GB2312"/>
          <w:color w:val="000000"/>
          <w:sz w:val="28"/>
          <w:szCs w:val="28"/>
          <w:highlight w:val="none"/>
        </w:rPr>
        <w:t>建立苗木进场验收制度，每批苗木到场后通知发包人、监理人共同验收，填写《苗木进场验收单》，验收合格后方可种植。</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3.1.4.</w:t>
      </w:r>
      <w:r>
        <w:rPr>
          <w:rFonts w:hint="eastAsia" w:ascii="仿宋_GB2312" w:hAnsi="仿宋_GB2312" w:eastAsia="仿宋_GB2312" w:cs="仿宋_GB2312"/>
          <w:color w:val="000000"/>
          <w:sz w:val="28"/>
          <w:szCs w:val="28"/>
          <w:highlight w:val="none"/>
        </w:rPr>
        <w:t>严禁转包和违法分包，一经发现发包人</w:t>
      </w:r>
      <w:r>
        <w:rPr>
          <w:rFonts w:hint="eastAsia" w:ascii="仿宋_GB2312" w:hAnsi="仿宋_GB2312" w:eastAsia="仿宋_GB2312" w:cs="仿宋_GB2312"/>
          <w:b w:val="0"/>
          <w:bCs w:val="0"/>
          <w:color w:val="000000"/>
          <w:kern w:val="2"/>
          <w:sz w:val="28"/>
          <w:szCs w:val="28"/>
          <w:highlight w:val="none"/>
          <w:lang w:val="en-US" w:eastAsia="zh-CN" w:bidi="ar-SA"/>
        </w:rPr>
        <w:t>书面通知承包方限期整改，承包方在收到通知后7日内未整改的，发包方可解除合同，并要求承包人支付签约合同价</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%的违约金（</w:t>
      </w:r>
      <w:r>
        <w:rPr>
          <w:rFonts w:hint="eastAsia" w:ascii="仿宋_GB2312" w:hAnsi="仿宋_GB2312" w:eastAsia="仿宋_GB2312" w:cs="仿宋_GB2312"/>
          <w:b w:val="0"/>
          <w:bCs w:val="0"/>
          <w:color w:val="000000"/>
          <w:kern w:val="2"/>
          <w:sz w:val="28"/>
          <w:szCs w:val="28"/>
          <w:highlight w:val="none"/>
          <w:lang w:val="en-US" w:eastAsia="zh-CN" w:bidi="ar"/>
        </w:rPr>
        <w:t>该违约金额一般</w:t>
      </w:r>
      <w:r>
        <w:rPr>
          <w:rFonts w:hint="eastAsia" w:ascii="仿宋_GB2312" w:hAnsi="仿宋_GB2312" w:eastAsia="仿宋_GB2312" w:cs="仿宋_GB2312"/>
          <w:color w:val="000000"/>
          <w:kern w:val="2"/>
          <w:sz w:val="28"/>
          <w:szCs w:val="28"/>
          <w:highlight w:val="none"/>
          <w:lang w:val="en-US" w:eastAsia="zh-CN" w:bidi="ar"/>
        </w:rPr>
        <w:t>不超过承包人造成损失的30%）</w:t>
      </w:r>
      <w:r>
        <w:rPr>
          <w:rFonts w:hint="eastAsia" w:ascii="仿宋_GB2312" w:hAnsi="仿宋_GB2312" w:eastAsia="仿宋_GB2312" w:cs="仿宋_GB2312"/>
          <w:color w:val="000000"/>
          <w:sz w:val="28"/>
          <w:szCs w:val="28"/>
          <w:highlight w:val="none"/>
        </w:rPr>
        <w:t>；劳务分包须报发包人备案。</w:t>
      </w:r>
      <w:r>
        <w:rPr>
          <w:rFonts w:hint="eastAsia" w:ascii="仿宋_GB2312" w:hAnsi="仿宋_GB2312" w:eastAsia="仿宋_GB2312" w:cs="仿宋_GB2312"/>
          <w:color w:val="000000"/>
          <w:sz w:val="28"/>
          <w:szCs w:val="28"/>
          <w:highlight w:val="none"/>
          <w:lang w:val="en-US" w:eastAsia="zh-CN"/>
        </w:rPr>
        <w:t>否则相关的施工人员均视为承包人的施工人员，所产生的责任均由承包人自行承担</w:t>
      </w:r>
      <w:r>
        <w:rPr>
          <w:rFonts w:hint="eastAsia" w:ascii="仿宋_GB2312" w:hAnsi="仿宋_GB2312" w:eastAsia="仿宋_GB2312" w:cs="仿宋_GB2312"/>
          <w:color w:val="000000"/>
          <w:sz w:val="28"/>
          <w:szCs w:val="28"/>
          <w:highlight w:val="none"/>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8" w:firstLineChars="228"/>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3.1.5.</w:t>
      </w:r>
      <w:r>
        <w:rPr>
          <w:rFonts w:hint="eastAsia" w:ascii="仿宋_GB2312" w:hAnsi="仿宋_GB2312" w:eastAsia="仿宋_GB2312" w:cs="仿宋_GB2312"/>
          <w:color w:val="000000"/>
          <w:sz w:val="28"/>
          <w:szCs w:val="28"/>
          <w:highlight w:val="none"/>
        </w:rPr>
        <w:t>按合同约定完成施工及养护工作，及时整改验收发现的质量问题。</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3.2 劳务用工管理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3.2.1.</w:t>
      </w:r>
      <w:r>
        <w:rPr>
          <w:rFonts w:hint="eastAsia" w:ascii="仿宋_GB2312" w:hAnsi="仿宋_GB2312" w:eastAsia="仿宋_GB2312" w:cs="仿宋_GB2312"/>
          <w:color w:val="000000"/>
          <w:sz w:val="28"/>
          <w:szCs w:val="28"/>
          <w:highlight w:val="none"/>
        </w:rPr>
        <w:t>严格落实农民工工资保证金缴纳、实名制用工管理等制度，依法签订用工合同，及时足额支付工资，严禁拖欠农民工工资。</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3.2.2.</w:t>
      </w:r>
      <w:r>
        <w:rPr>
          <w:rFonts w:hint="eastAsia" w:ascii="仿宋_GB2312" w:hAnsi="仿宋_GB2312" w:eastAsia="仿宋_GB2312" w:cs="仿宋_GB2312"/>
          <w:color w:val="000000"/>
          <w:sz w:val="28"/>
          <w:szCs w:val="28"/>
          <w:highlight w:val="none"/>
        </w:rPr>
        <w:t>按规定为劳务人员购买工伤保险</w:t>
      </w:r>
      <w:r>
        <w:rPr>
          <w:rFonts w:hint="eastAsia" w:ascii="仿宋_GB2312" w:hAnsi="仿宋_GB2312" w:eastAsia="仿宋_GB2312" w:cs="仿宋_GB2312"/>
          <w:color w:val="000000"/>
          <w:sz w:val="28"/>
          <w:szCs w:val="28"/>
          <w:highlight w:val="none"/>
          <w:lang w:val="en-US" w:eastAsia="zh-CN"/>
        </w:rPr>
        <w:t>和</w:t>
      </w:r>
      <w:r>
        <w:rPr>
          <w:rFonts w:hint="eastAsia" w:ascii="仿宋_GB2312" w:hAnsi="仿宋_GB2312" w:eastAsia="仿宋_GB2312" w:cs="仿宋_GB2312"/>
          <w:color w:val="000000"/>
          <w:sz w:val="28"/>
          <w:szCs w:val="28"/>
          <w:highlight w:val="none"/>
        </w:rPr>
        <w:t>人身意外伤害险，保险凭证报发包人备案。</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3.2.3.若在本合同履行期间与劳务人员产生报酬支付、工伤等纠纷的，由承包人自行处理、承担相应的法律责任，与发包人无关。</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3.3 承包人员</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3.3.1.</w:t>
      </w:r>
      <w:r>
        <w:rPr>
          <w:rFonts w:hint="eastAsia" w:ascii="仿宋_GB2312" w:hAnsi="仿宋_GB2312" w:eastAsia="仿宋_GB2312" w:cs="仿宋_GB2312"/>
          <w:color w:val="000000"/>
          <w:sz w:val="28"/>
          <w:szCs w:val="28"/>
          <w:highlight w:val="none"/>
        </w:rPr>
        <w:t>开工前3日内提交项目管理机构及施工现场管理人员安排报告，主要管理人员未经发包人书面同意不得擅自更换/离岗。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3.3.2.</w:t>
      </w:r>
      <w:r>
        <w:rPr>
          <w:rFonts w:hint="eastAsia" w:ascii="仿宋_GB2312" w:hAnsi="仿宋_GB2312" w:eastAsia="仿宋_GB2312" w:cs="仿宋_GB2312"/>
          <w:color w:val="000000"/>
          <w:sz w:val="28"/>
          <w:szCs w:val="28"/>
          <w:highlight w:val="none"/>
          <w:lang w:eastAsia="zh-CN"/>
        </w:rPr>
        <w:t>项目</w:t>
      </w:r>
      <w:r>
        <w:rPr>
          <w:rFonts w:hint="eastAsia" w:ascii="仿宋_GB2312" w:hAnsi="仿宋_GB2312" w:eastAsia="仿宋_GB2312" w:cs="仿宋_GB2312"/>
          <w:color w:val="000000"/>
          <w:sz w:val="28"/>
          <w:szCs w:val="28"/>
          <w:highlight w:val="none"/>
        </w:rPr>
        <w:t>技术负责人：姓名</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；身份证号</w:t>
      </w:r>
      <w:r>
        <w:rPr>
          <w:rFonts w:hint="eastAsia" w:ascii="仿宋_GB2312" w:hAnsi="仿宋_GB2312" w:eastAsia="仿宋_GB2312" w:cs="仿宋_GB2312"/>
          <w:color w:val="000000"/>
          <w:sz w:val="28"/>
          <w:szCs w:val="28"/>
          <w:highlight w:val="none"/>
          <w:lang w:eastAsia="zh-CN"/>
        </w:rPr>
        <w:t>码</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；专业</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；职称等级</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（园林相关专业中级及以上）</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职称材料</w:t>
      </w:r>
      <w:r>
        <w:rPr>
          <w:rFonts w:hint="eastAsia" w:ascii="仿宋_GB2312" w:hAnsi="仿宋_GB2312" w:eastAsia="仿宋_GB2312" w:cs="仿宋_GB2312"/>
          <w:color w:val="000000"/>
          <w:kern w:val="0"/>
          <w:sz w:val="28"/>
          <w:szCs w:val="28"/>
          <w:highlight w:val="none"/>
          <w:lang w:val="en-US" w:eastAsia="zh-CN" w:bidi="ar"/>
        </w:rPr>
        <w:t>报发包人备案</w:t>
      </w:r>
      <w:r>
        <w:rPr>
          <w:rFonts w:hint="eastAsia" w:ascii="仿宋_GB2312" w:hAnsi="仿宋_GB2312" w:eastAsia="仿宋_GB2312" w:cs="仿宋_GB2312"/>
          <w:color w:val="000000"/>
          <w:sz w:val="28"/>
          <w:szCs w:val="28"/>
          <w:highlight w:val="none"/>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3.3.</w:t>
      </w:r>
      <w:r>
        <w:rPr>
          <w:rFonts w:hint="eastAsia" w:ascii="仿宋_GB2312" w:hAnsi="仿宋_GB2312" w:eastAsia="仿宋_GB2312" w:cs="仿宋_GB2312"/>
          <w:color w:val="000000"/>
          <w:kern w:val="0"/>
          <w:sz w:val="28"/>
          <w:szCs w:val="28"/>
          <w:highlight w:val="none"/>
          <w:lang w:val="en-US" w:eastAsia="zh-CN" w:bidi="ar"/>
        </w:rPr>
        <w:t>3.</w:t>
      </w:r>
      <w:r>
        <w:rPr>
          <w:rFonts w:hint="eastAsia" w:ascii="仿宋_GB2312" w:hAnsi="仿宋_GB2312" w:eastAsia="仿宋_GB2312" w:cs="仿宋_GB2312"/>
          <w:color w:val="000000"/>
          <w:sz w:val="28"/>
          <w:szCs w:val="28"/>
          <w:highlight w:val="none"/>
          <w:lang w:eastAsia="zh-CN"/>
        </w:rPr>
        <w:t>项目</w:t>
      </w:r>
      <w:r>
        <w:rPr>
          <w:rFonts w:hint="eastAsia" w:ascii="仿宋_GB2312" w:hAnsi="仿宋_GB2312" w:eastAsia="仿宋_GB2312" w:cs="仿宋_GB2312"/>
          <w:color w:val="000000"/>
          <w:kern w:val="0"/>
          <w:sz w:val="28"/>
          <w:szCs w:val="28"/>
          <w:highlight w:val="none"/>
          <w:lang w:val="en-US" w:eastAsia="zh-CN" w:bidi="ar"/>
        </w:rPr>
        <w:t>技术负责人应与承包人建立劳动关系，承包人应提供</w:t>
      </w:r>
      <w:r>
        <w:rPr>
          <w:rFonts w:hint="eastAsia" w:ascii="仿宋_GB2312" w:hAnsi="仿宋_GB2312" w:eastAsia="仿宋_GB2312" w:cs="仿宋_GB2312"/>
          <w:color w:val="000000"/>
          <w:sz w:val="28"/>
          <w:szCs w:val="28"/>
          <w:highlight w:val="none"/>
          <w:lang w:eastAsia="zh-CN"/>
        </w:rPr>
        <w:t>项目</w:t>
      </w:r>
      <w:r>
        <w:rPr>
          <w:rFonts w:hint="eastAsia" w:ascii="仿宋_GB2312" w:hAnsi="仿宋_GB2312" w:eastAsia="仿宋_GB2312" w:cs="仿宋_GB2312"/>
          <w:color w:val="000000"/>
          <w:kern w:val="0"/>
          <w:sz w:val="28"/>
          <w:szCs w:val="28"/>
          <w:highlight w:val="none"/>
          <w:lang w:val="en-US" w:eastAsia="zh-CN" w:bidi="ar"/>
        </w:rPr>
        <w:t>技术负责人的劳动合同、社会保险参保情况给发包人备案。</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 xml:space="preserve"> 履约担保</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560" w:lineRule="exact"/>
        <w:ind w:left="0" w:firstLine="560" w:firstLineChars="200"/>
        <w:jc w:val="both"/>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pacing w:val="0"/>
          <w:sz w:val="28"/>
          <w:szCs w:val="28"/>
          <w:highlight w:val="none"/>
          <w:lang w:eastAsia="zh-CN"/>
        </w:rPr>
        <w:t xml:space="preserve">承包人是否提供履约担保： </w:t>
      </w:r>
      <w:r>
        <w:rPr>
          <w:rFonts w:hint="eastAsia" w:ascii="仿宋_GB2312" w:hAnsi="仿宋_GB2312" w:eastAsia="仿宋_GB2312" w:cs="仿宋_GB2312"/>
          <w:color w:val="000000"/>
          <w:sz w:val="28"/>
          <w:szCs w:val="28"/>
          <w:highlight w:val="none"/>
          <w:u w:val="none"/>
          <w:lang w:eastAsia="zh-CN"/>
        </w:rPr>
        <w:t xml:space="preserve">                             </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560" w:lineRule="exact"/>
        <w:ind w:left="0" w:firstLine="560" w:firstLineChars="200"/>
        <w:jc w:val="both"/>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pacing w:val="0"/>
          <w:sz w:val="28"/>
          <w:szCs w:val="28"/>
          <w:highlight w:val="none"/>
          <w:lang w:eastAsia="zh-CN"/>
        </w:rPr>
        <w:t>本款补充：</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560" w:lineRule="exact"/>
        <w:ind w:left="0" w:firstLine="560" w:firstLineChars="200"/>
        <w:jc w:val="both"/>
        <w:textAlignment w:val="auto"/>
        <w:rPr>
          <w:rFonts w:hint="default" w:ascii="Calibri" w:hAnsi="Calibri" w:eastAsia="宋体" w:cs="Times New Roman"/>
          <w:sz w:val="21"/>
          <w:szCs w:val="24"/>
          <w:highlight w:val="none"/>
        </w:rPr>
      </w:pPr>
      <w:r>
        <w:rPr>
          <w:rFonts w:hint="eastAsia" w:ascii="仿宋_GB2312" w:hAnsi="仿宋_GB2312" w:eastAsia="仿宋_GB2312" w:cs="仿宋_GB2312"/>
          <w:color w:val="000000"/>
          <w:spacing w:val="0"/>
          <w:sz w:val="28"/>
          <w:szCs w:val="28"/>
          <w:highlight w:val="none"/>
          <w:lang w:eastAsia="zh-CN"/>
        </w:rPr>
        <w:t>履约担保金额及方式：签订合同后</w:t>
      </w:r>
      <w:r>
        <w:rPr>
          <w:rFonts w:hint="eastAsia" w:ascii="仿宋_GB2312" w:hAnsi="仿宋_GB2312" w:eastAsia="仿宋_GB2312" w:cs="仿宋_GB2312"/>
          <w:color w:val="000000"/>
          <w:spacing w:val="0"/>
          <w:sz w:val="28"/>
          <w:szCs w:val="28"/>
          <w:highlight w:val="none"/>
          <w:u w:val="single"/>
          <w:lang w:eastAsia="zh-CN"/>
        </w:rPr>
        <w:t xml:space="preserve">      </w:t>
      </w:r>
      <w:r>
        <w:rPr>
          <w:rFonts w:hint="eastAsia" w:ascii="仿宋_GB2312" w:hAnsi="仿宋_GB2312" w:eastAsia="仿宋_GB2312" w:cs="仿宋_GB2312"/>
          <w:color w:val="000000"/>
          <w:spacing w:val="0"/>
          <w:sz w:val="28"/>
          <w:szCs w:val="28"/>
          <w:highlight w:val="none"/>
          <w:lang w:eastAsia="zh-CN"/>
        </w:rPr>
        <w:t>个工作日内，承包人需提交履约担保人民币</w:t>
      </w:r>
      <w:r>
        <w:rPr>
          <w:rFonts w:hint="eastAsia" w:ascii="仿宋_GB2312" w:hAnsi="仿宋_GB2312" w:eastAsia="仿宋_GB2312" w:cs="仿宋_GB2312"/>
          <w:color w:val="000000"/>
          <w:spacing w:val="0"/>
          <w:sz w:val="28"/>
          <w:szCs w:val="28"/>
          <w:highlight w:val="none"/>
          <w:u w:val="single"/>
          <w:lang w:eastAsia="zh-CN"/>
        </w:rPr>
        <w:t xml:space="preserve">              </w:t>
      </w:r>
      <w:r>
        <w:rPr>
          <w:rFonts w:hint="eastAsia" w:ascii="仿宋_GB2312" w:hAnsi="仿宋_GB2312" w:eastAsia="仿宋_GB2312" w:cs="仿宋_GB2312"/>
          <w:color w:val="000000"/>
          <w:spacing w:val="0"/>
          <w:sz w:val="28"/>
          <w:szCs w:val="28"/>
          <w:highlight w:val="none"/>
          <w:lang w:eastAsia="zh-CN"/>
        </w:rPr>
        <w:t>元（不高于中标价的10%），以口保函或口保险形式执行。履约担保的有效期至本工程竣工验收合格为止。</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监理人</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4.1 监理人的职责</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4.1.1.</w:t>
      </w:r>
      <w:r>
        <w:rPr>
          <w:rFonts w:hint="eastAsia" w:ascii="仿宋_GB2312" w:hAnsi="仿宋_GB2312" w:eastAsia="仿宋_GB2312" w:cs="仿宋_GB2312"/>
          <w:color w:val="000000"/>
          <w:sz w:val="28"/>
          <w:szCs w:val="28"/>
          <w:highlight w:val="none"/>
        </w:rPr>
        <w:t>按合同约定对工程质量、进度、投资进行监督管理，审核承包人提交的各类方案、申请。</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4.1.2.</w:t>
      </w:r>
      <w:r>
        <w:rPr>
          <w:rFonts w:hint="eastAsia" w:ascii="仿宋_GB2312" w:hAnsi="仿宋_GB2312" w:eastAsia="仿宋_GB2312" w:cs="仿宋_GB2312"/>
          <w:color w:val="000000"/>
          <w:sz w:val="28"/>
          <w:szCs w:val="28"/>
          <w:highlight w:val="none"/>
        </w:rPr>
        <w:t>对苗木进场验收、种植、支撑、浇水等园林绿化关键工序进行</w:t>
      </w:r>
      <w:r>
        <w:rPr>
          <w:rStyle w:val="27"/>
          <w:rFonts w:hint="eastAsia" w:ascii="仿宋_GB2312" w:hAnsi="仿宋_GB2312" w:eastAsia="仿宋_GB2312" w:cs="仿宋_GB2312"/>
          <w:b/>
          <w:bCs/>
          <w:color w:val="000000"/>
          <w:sz w:val="28"/>
          <w:szCs w:val="28"/>
          <w:highlight w:val="none"/>
        </w:rPr>
        <w:t>旁站监督</w:t>
      </w:r>
      <w:r>
        <w:rPr>
          <w:rFonts w:hint="eastAsia" w:ascii="仿宋_GB2312" w:hAnsi="仿宋_GB2312" w:eastAsia="仿宋_GB2312" w:cs="仿宋_GB2312"/>
          <w:color w:val="000000"/>
          <w:sz w:val="28"/>
          <w:szCs w:val="28"/>
          <w:highlight w:val="none"/>
        </w:rPr>
        <w:t>，签署相关验收记录。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4.1.3.</w:t>
      </w:r>
      <w:r>
        <w:rPr>
          <w:rFonts w:hint="eastAsia" w:ascii="仿宋_GB2312" w:hAnsi="仿宋_GB2312" w:eastAsia="仿宋_GB2312" w:cs="仿宋_GB2312"/>
          <w:color w:val="000000"/>
          <w:sz w:val="28"/>
          <w:szCs w:val="28"/>
          <w:highlight w:val="none"/>
        </w:rPr>
        <w:t>参与工程各阶段验收</w:t>
      </w:r>
      <w:r>
        <w:rPr>
          <w:rFonts w:hint="eastAsia" w:ascii="仿宋_GB2312" w:hAnsi="仿宋_GB2312" w:eastAsia="仿宋_GB2312" w:cs="仿宋_GB2312"/>
          <w:color w:val="000000"/>
          <w:sz w:val="28"/>
          <w:szCs w:val="28"/>
          <w:highlight w:val="none"/>
          <w:lang w:eastAsia="zh-CN"/>
        </w:rPr>
        <w:t>（含移交验收）</w:t>
      </w:r>
      <w:r>
        <w:rPr>
          <w:rFonts w:hint="eastAsia" w:ascii="仿宋_GB2312" w:hAnsi="仿宋_GB2312" w:eastAsia="仿宋_GB2312" w:cs="仿宋_GB2312"/>
          <w:color w:val="000000"/>
          <w:sz w:val="28"/>
          <w:szCs w:val="28"/>
          <w:highlight w:val="none"/>
        </w:rPr>
        <w:t>，出具监理意见。</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4.1.</w:t>
      </w:r>
      <w:r>
        <w:rPr>
          <w:rFonts w:hint="eastAsia" w:ascii="仿宋_GB2312" w:hAnsi="仿宋_GB2312" w:eastAsia="仿宋_GB2312" w:cs="仿宋_GB2312"/>
          <w:color w:val="000000"/>
          <w:kern w:val="0"/>
          <w:sz w:val="28"/>
          <w:szCs w:val="28"/>
          <w:highlight w:val="none"/>
          <w:lang w:val="en-US" w:eastAsia="zh-CN" w:bidi="ar"/>
        </w:rPr>
        <w:t>4.监理工作负责跟进至项目中绿化部分办理移交接管为止。</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4.2 监理人员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总监理工程师须具备园林绿化相关专业知识或从业经验；现场监理人员配置满足工程及养护期监管需求。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4.3</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80" w:firstLineChars="1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 工程质量</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5.1 质量要求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工程质量符合《园林绿化工程施工及验收规范》（CJJ 82-2012）及合同约定标准。苗木质量严格执行本合同</w:t>
      </w:r>
      <w:r>
        <w:rPr>
          <w:rFonts w:hint="eastAsia" w:ascii="仿宋_GB2312" w:hAnsi="仿宋_GB2312" w:eastAsia="仿宋_GB2312" w:cs="仿宋_GB2312"/>
          <w:color w:val="000000"/>
          <w:sz w:val="28"/>
          <w:szCs w:val="28"/>
          <w:highlight w:val="none"/>
          <w:lang w:eastAsia="zh-CN"/>
        </w:rPr>
        <w:t>专用合同条款</w:t>
      </w:r>
      <w:r>
        <w:rPr>
          <w:rFonts w:hint="eastAsia" w:ascii="仿宋_GB2312" w:hAnsi="仿宋_GB2312" w:eastAsia="仿宋_GB2312" w:cs="仿宋_GB2312"/>
          <w:color w:val="000000"/>
          <w:sz w:val="28"/>
          <w:szCs w:val="28"/>
          <w:highlight w:val="none"/>
          <w:lang w:val="en-US" w:eastAsia="zh-CN"/>
        </w:rPr>
        <w:t>5.1.2</w:t>
      </w:r>
      <w:r>
        <w:rPr>
          <w:rFonts w:hint="eastAsia" w:ascii="仿宋_GB2312" w:hAnsi="仿宋_GB2312" w:eastAsia="仿宋_GB2312" w:cs="仿宋_GB2312"/>
          <w:color w:val="000000"/>
          <w:sz w:val="28"/>
          <w:szCs w:val="28"/>
          <w:highlight w:val="none"/>
        </w:rPr>
        <w:t xml:space="preserve">条及附件 </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苗木质量标准</w:t>
      </w:r>
      <w:r>
        <w:rPr>
          <w:rFonts w:hint="eastAsia" w:ascii="仿宋_GB2312" w:hAnsi="仿宋_GB2312" w:eastAsia="仿宋_GB2312" w:cs="仿宋_GB2312"/>
          <w:color w:val="000000"/>
          <w:sz w:val="28"/>
          <w:szCs w:val="28"/>
          <w:highlight w:val="none"/>
        </w:rPr>
        <w:t>》，严禁使用不合格苗木。</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5.1.1</w:t>
      </w:r>
      <w:r>
        <w:rPr>
          <w:rFonts w:hint="eastAsia" w:ascii="仿宋_GB2312" w:hAnsi="仿宋_GB2312" w:eastAsia="仿宋_GB2312" w:cs="仿宋_GB2312"/>
          <w:color w:val="000000"/>
          <w:sz w:val="28"/>
          <w:szCs w:val="28"/>
          <w:highlight w:val="none"/>
        </w:rPr>
        <w:t>通用要求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（1）施工过程及绿化养护期内植物死亡，须按原设计品种和规格更换，更换费用由承包人承担。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（2）绿化种植及养护等事项须符合附件4《苗木质量标准》及本合同约定的其他要求。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5.1.2</w:t>
      </w:r>
      <w:r>
        <w:rPr>
          <w:rFonts w:hint="eastAsia" w:ascii="仿宋_GB2312" w:hAnsi="仿宋_GB2312" w:eastAsia="仿宋_GB2312" w:cs="仿宋_GB2312"/>
          <w:color w:val="000000"/>
          <w:sz w:val="28"/>
          <w:szCs w:val="28"/>
          <w:highlight w:val="none"/>
        </w:rPr>
        <w:t>苗木质量要求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苗木应选用全冠幅青壮苗，植株生长健壮、枝干通直、冠形饱满，无机械损伤、病虫害及枯枝烂根现象；严禁使用“筷子树”</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公孙树”</w:t>
      </w:r>
      <w:r>
        <w:rPr>
          <w:rFonts w:hint="eastAsia" w:ascii="仿宋_GB2312" w:hAnsi="仿宋_GB2312" w:eastAsia="仿宋_GB2312" w:cs="仿宋_GB2312"/>
          <w:color w:val="000000"/>
          <w:sz w:val="28"/>
          <w:szCs w:val="28"/>
          <w:highlight w:val="none"/>
        </w:rPr>
        <w:t>及以次充好的劣质苗木。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乔木胸径、高度、冠幅等规格符合设计图纸及《苗木采购清单》要求，规格误差不超过±5%。</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（3）常绿</w:t>
      </w:r>
      <w:r>
        <w:rPr>
          <w:rFonts w:hint="eastAsia" w:ascii="仿宋_GB2312" w:hAnsi="仿宋_GB2312" w:eastAsia="仿宋_GB2312" w:cs="仿宋_GB2312"/>
          <w:color w:val="000000"/>
          <w:sz w:val="28"/>
          <w:szCs w:val="28"/>
          <w:highlight w:val="none"/>
        </w:rPr>
        <w:t>树种要求</w:t>
      </w:r>
      <w:r>
        <w:rPr>
          <w:rFonts w:hint="eastAsia" w:ascii="仿宋_GB2312" w:hAnsi="仿宋_GB2312" w:eastAsia="仿宋_GB2312" w:cs="仿宋_GB2312"/>
          <w:color w:val="000000"/>
          <w:sz w:val="28"/>
          <w:szCs w:val="28"/>
          <w:highlight w:val="none"/>
          <w:lang w:eastAsia="zh-CN"/>
        </w:rPr>
        <w:t>为</w:t>
      </w:r>
      <w:r>
        <w:rPr>
          <w:rFonts w:hint="eastAsia" w:ascii="仿宋_GB2312" w:hAnsi="仿宋_GB2312" w:eastAsia="仿宋_GB2312" w:cs="仿宋_GB2312"/>
          <w:color w:val="000000"/>
          <w:sz w:val="28"/>
          <w:szCs w:val="28"/>
          <w:highlight w:val="none"/>
        </w:rPr>
        <w:t>带土球</w:t>
      </w:r>
      <w:r>
        <w:rPr>
          <w:rFonts w:hint="eastAsia" w:ascii="仿宋_GB2312" w:hAnsi="仿宋_GB2312" w:eastAsia="仿宋_GB2312" w:cs="仿宋_GB2312"/>
          <w:color w:val="000000"/>
          <w:sz w:val="28"/>
          <w:szCs w:val="28"/>
          <w:highlight w:val="none"/>
          <w:lang w:eastAsia="zh-CN"/>
        </w:rPr>
        <w:t>的假植苗</w:t>
      </w:r>
      <w:r>
        <w:rPr>
          <w:rFonts w:hint="eastAsia" w:ascii="仿宋_GB2312" w:hAnsi="仿宋_GB2312" w:eastAsia="仿宋_GB2312" w:cs="仿宋_GB2312"/>
          <w:color w:val="000000"/>
          <w:sz w:val="28"/>
          <w:szCs w:val="28"/>
          <w:highlight w:val="none"/>
        </w:rPr>
        <w:t>，所种苗木要求根系完整、</w:t>
      </w:r>
      <w:r>
        <w:rPr>
          <w:rFonts w:hint="eastAsia" w:ascii="仿宋_GB2312" w:hAnsi="仿宋_GB2312" w:eastAsia="仿宋_GB2312" w:cs="仿宋_GB2312"/>
          <w:color w:val="000000"/>
          <w:sz w:val="28"/>
          <w:szCs w:val="28"/>
          <w:highlight w:val="none"/>
          <w:lang w:eastAsia="zh-CN"/>
        </w:rPr>
        <w:t>枝干</w:t>
      </w:r>
      <w:r>
        <w:rPr>
          <w:rFonts w:hint="eastAsia" w:ascii="仿宋_GB2312" w:hAnsi="仿宋_GB2312" w:eastAsia="仿宋_GB2312" w:cs="仿宋_GB2312"/>
          <w:color w:val="000000"/>
          <w:sz w:val="28"/>
          <w:szCs w:val="28"/>
          <w:highlight w:val="none"/>
        </w:rPr>
        <w:t>健康、无病虫害、造型完好。观赏类树木</w:t>
      </w:r>
      <w:r>
        <w:rPr>
          <w:rFonts w:hint="eastAsia" w:ascii="仿宋_GB2312" w:hAnsi="仿宋_GB2312" w:eastAsia="仿宋_GB2312" w:cs="仿宋_GB2312"/>
          <w:color w:val="000000"/>
          <w:sz w:val="28"/>
          <w:szCs w:val="28"/>
          <w:highlight w:val="none"/>
          <w:lang w:val="en-US" w:eastAsia="zh-CN"/>
        </w:rPr>
        <w:t>叶色</w:t>
      </w:r>
      <w:r>
        <w:rPr>
          <w:rFonts w:hint="eastAsia" w:ascii="仿宋_GB2312" w:hAnsi="仿宋_GB2312" w:eastAsia="仿宋_GB2312" w:cs="仿宋_GB2312"/>
          <w:color w:val="000000"/>
          <w:sz w:val="28"/>
          <w:szCs w:val="28"/>
          <w:highlight w:val="none"/>
        </w:rPr>
        <w:t>花果鲜</w:t>
      </w:r>
      <w:r>
        <w:rPr>
          <w:rFonts w:hint="eastAsia" w:ascii="仿宋_GB2312" w:hAnsi="仿宋_GB2312" w:eastAsia="仿宋_GB2312" w:cs="仿宋_GB2312"/>
          <w:color w:val="000000"/>
          <w:sz w:val="28"/>
          <w:szCs w:val="28"/>
          <w:highlight w:val="none"/>
          <w:lang w:val="en-US" w:eastAsia="zh-CN"/>
        </w:rPr>
        <w:t>亮</w:t>
      </w:r>
      <w:r>
        <w:rPr>
          <w:rFonts w:hint="eastAsia" w:ascii="仿宋_GB2312" w:hAnsi="仿宋_GB2312" w:eastAsia="仿宋_GB2312" w:cs="仿宋_GB2312"/>
          <w:color w:val="000000"/>
          <w:sz w:val="28"/>
          <w:szCs w:val="28"/>
          <w:highlight w:val="none"/>
        </w:rPr>
        <w:t>，物候期正常，生长期内黄叶、焦叶、卷叶、积尘叶的枝数在6%以下，无枯枝死叉，基本无交叉枝、并生枝和徒长枝。苗木成活率：乔木100%，灌木及地被覆盖率不低于9</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default" w:eastAsia="仿宋"/>
          <w:sz w:val="24"/>
          <w:szCs w:val="24"/>
          <w:highlight w:val="none"/>
          <w:u w:val="single"/>
          <w:lang w:val="en-US" w:eastAsia="zh-CN"/>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花卉生长繁</w:t>
      </w:r>
      <w:r>
        <w:rPr>
          <w:rFonts w:hint="eastAsia" w:ascii="仿宋_GB2312" w:hAnsi="仿宋_GB2312" w:eastAsia="仿宋_GB2312" w:cs="仿宋_GB2312"/>
          <w:color w:val="000000"/>
          <w:sz w:val="28"/>
          <w:szCs w:val="28"/>
          <w:highlight w:val="none"/>
          <w:lang w:eastAsia="zh-CN"/>
        </w:rPr>
        <w:t>茂</w:t>
      </w:r>
      <w:r>
        <w:rPr>
          <w:rFonts w:hint="eastAsia" w:ascii="仿宋_GB2312" w:hAnsi="仿宋_GB2312" w:eastAsia="仿宋_GB2312" w:cs="仿宋_GB2312"/>
          <w:color w:val="000000"/>
          <w:sz w:val="28"/>
          <w:szCs w:val="28"/>
          <w:highlight w:val="none"/>
          <w:u w:val="none"/>
        </w:rPr>
        <w:t>，植枝整齐，同种花卉高度基本一致，群体效果较好。花卉植</w:t>
      </w:r>
      <w:r>
        <w:rPr>
          <w:rFonts w:hint="eastAsia" w:ascii="仿宋_GB2312" w:hAnsi="仿宋_GB2312" w:eastAsia="仿宋_GB2312" w:cs="仿宋_GB2312"/>
          <w:color w:val="000000"/>
          <w:sz w:val="28"/>
          <w:szCs w:val="28"/>
          <w:highlight w:val="none"/>
          <w:u w:val="none"/>
          <w:lang w:eastAsia="zh-CN"/>
        </w:rPr>
        <w:t>株</w:t>
      </w:r>
      <w:r>
        <w:rPr>
          <w:rFonts w:hint="eastAsia" w:ascii="仿宋_GB2312" w:hAnsi="仿宋_GB2312" w:eastAsia="仿宋_GB2312" w:cs="仿宋_GB2312"/>
          <w:color w:val="000000"/>
          <w:sz w:val="28"/>
          <w:szCs w:val="28"/>
          <w:highlight w:val="none"/>
          <w:u w:val="none"/>
        </w:rPr>
        <w:t>成活率达到100%以上</w:t>
      </w:r>
      <w:r>
        <w:rPr>
          <w:rFonts w:hint="eastAsia" w:ascii="仿宋_GB2312" w:hAnsi="仿宋_GB2312" w:eastAsia="仿宋_GB2312" w:cs="仿宋_GB2312"/>
          <w:color w:val="000000"/>
          <w:kern w:val="2"/>
          <w:sz w:val="28"/>
          <w:szCs w:val="28"/>
          <w:highlight w:val="none"/>
          <w:lang w:val="en-US" w:eastAsia="zh-CN" w:bidi="ar"/>
        </w:rPr>
        <w:t>。花丛式花坛花栽植株行距适中，整齐一致，不缺株，四季有花。宿根花卉生长强健，叶色彩正常，性状基本稳定，无明显退化现象。</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5.1.3</w:t>
      </w:r>
      <w:r>
        <w:rPr>
          <w:rFonts w:hint="eastAsia" w:ascii="仿宋_GB2312" w:hAnsi="仿宋_GB2312" w:eastAsia="仿宋_GB2312" w:cs="仿宋_GB2312"/>
          <w:color w:val="000000"/>
          <w:sz w:val="28"/>
          <w:szCs w:val="28"/>
          <w:highlight w:val="none"/>
        </w:rPr>
        <w:t>苗木起挖、包装与运输要求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土球直径不低于苗木地径的6-</w:t>
      </w: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rPr>
        <w:t>倍，土球完整包扎；裸根苗根系完整率不低于95%，需泥浆蘸根或保湿包裹。</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运输采取防晒、保湿等措施，运输时间原则上不超过</w:t>
      </w:r>
      <w:r>
        <w:rPr>
          <w:rFonts w:hint="eastAsia" w:ascii="仿宋_GB2312" w:hAnsi="仿宋_GB2312" w:eastAsia="仿宋_GB2312" w:cs="仿宋_GB2312"/>
          <w:color w:val="000000"/>
          <w:sz w:val="28"/>
          <w:szCs w:val="28"/>
          <w:highlight w:val="none"/>
          <w:lang w:val="en-US" w:eastAsia="zh-CN"/>
        </w:rPr>
        <w:t>48</w:t>
      </w:r>
      <w:r>
        <w:rPr>
          <w:rFonts w:hint="eastAsia" w:ascii="仿宋_GB2312" w:hAnsi="仿宋_GB2312" w:eastAsia="仿宋_GB2312" w:cs="仿宋_GB2312"/>
          <w:color w:val="000000"/>
          <w:sz w:val="28"/>
          <w:szCs w:val="28"/>
          <w:highlight w:val="none"/>
        </w:rPr>
        <w:t>小时，超时需提供中途养护记录。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苗木到场后经发包人验收合格方可种植；不合格苗木承包人应</w:t>
      </w:r>
      <w:r>
        <w:rPr>
          <w:rFonts w:hint="eastAsia" w:ascii="仿宋_GB2312" w:hAnsi="仿宋_GB2312" w:eastAsia="仿宋_GB2312" w:cs="仿宋_GB2312"/>
          <w:color w:val="000000"/>
          <w:sz w:val="28"/>
          <w:szCs w:val="28"/>
          <w:highlight w:val="none"/>
          <w:lang w:eastAsia="zh-CN"/>
        </w:rPr>
        <w:t>在</w:t>
      </w:r>
      <w:r>
        <w:rPr>
          <w:rFonts w:hint="eastAsia" w:ascii="仿宋_GB2312" w:hAnsi="仿宋_GB2312" w:eastAsia="仿宋_GB2312" w:cs="仿宋_GB2312"/>
          <w:color w:val="000000"/>
          <w:sz w:val="28"/>
          <w:szCs w:val="28"/>
          <w:highlight w:val="none"/>
          <w:lang w:val="en-US" w:eastAsia="zh-CN"/>
        </w:rPr>
        <w:t>48</w:t>
      </w:r>
      <w:r>
        <w:rPr>
          <w:rFonts w:hint="eastAsia" w:ascii="仿宋_GB2312" w:hAnsi="仿宋_GB2312" w:eastAsia="仿宋_GB2312" w:cs="仿宋_GB2312"/>
          <w:color w:val="000000"/>
          <w:sz w:val="28"/>
          <w:szCs w:val="28"/>
          <w:highlight w:val="none"/>
        </w:rPr>
        <w:t>小时内退换，费用及风险由承包人承担。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5.1.4</w:t>
      </w:r>
      <w:r>
        <w:rPr>
          <w:rFonts w:hint="eastAsia" w:ascii="仿宋_GB2312" w:hAnsi="仿宋_GB2312" w:eastAsia="仿宋_GB2312" w:cs="仿宋_GB2312"/>
          <w:color w:val="000000"/>
          <w:sz w:val="28"/>
          <w:szCs w:val="28"/>
          <w:highlight w:val="none"/>
        </w:rPr>
        <w:t>种植与养护操作要求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承包人应严格按照设计文件要求或参照《江门市绿化工作指引》中相应的空间类型、苗木种类的种植间距、种植土要求进行种植，道路绿化乔木种植间距一般为8-10米，严禁使用建筑垃圾、盐碱土或含有有害成分的土壤。</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eastAsia="仿宋"/>
          <w:sz w:val="24"/>
          <w:szCs w:val="24"/>
          <w:highlight w:val="none"/>
          <w:u w:val="single"/>
          <w:lang w:eastAsia="zh-CN"/>
        </w:rPr>
      </w:pPr>
      <w:r>
        <w:rPr>
          <w:rFonts w:hint="eastAsia" w:ascii="仿宋_GB2312" w:hAnsi="仿宋_GB2312" w:eastAsia="仿宋_GB2312" w:cs="仿宋_GB2312"/>
          <w:color w:val="000000"/>
          <w:sz w:val="28"/>
          <w:szCs w:val="28"/>
          <w:highlight w:val="none"/>
          <w:lang w:val="en-US" w:eastAsia="zh-CN"/>
        </w:rPr>
        <w:t>（2）施工</w:t>
      </w:r>
      <w:r>
        <w:rPr>
          <w:rFonts w:hint="eastAsia" w:ascii="仿宋_GB2312" w:hAnsi="仿宋_GB2312" w:eastAsia="仿宋_GB2312" w:cs="仿宋_GB2312"/>
          <w:color w:val="000000"/>
          <w:kern w:val="2"/>
          <w:sz w:val="28"/>
          <w:szCs w:val="28"/>
          <w:highlight w:val="none"/>
          <w:lang w:val="en-US" w:eastAsia="zh-CN" w:bidi="ar"/>
        </w:rPr>
        <w:t>严格按照绿化种植苗木表所列规格及施工图执行。</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种植前清理场地、平整地形；</w:t>
      </w:r>
      <w:r>
        <w:rPr>
          <w:rFonts w:hint="eastAsia" w:ascii="仿宋_GB2312" w:hAnsi="仿宋_GB2312" w:eastAsia="仿宋_GB2312" w:cs="仿宋_GB2312"/>
          <w:color w:val="000000"/>
          <w:sz w:val="28"/>
          <w:szCs w:val="28"/>
          <w:highlight w:val="none"/>
          <w:lang w:eastAsia="zh-CN"/>
        </w:rPr>
        <w:t>按照</w:t>
      </w:r>
      <w:r>
        <w:rPr>
          <w:rFonts w:hint="eastAsia" w:ascii="仿宋_GB2312" w:hAnsi="仿宋_GB2312" w:eastAsia="仿宋_GB2312" w:cs="仿宋_GB2312"/>
          <w:color w:val="000000"/>
          <w:sz w:val="28"/>
          <w:szCs w:val="28"/>
          <w:highlight w:val="none"/>
          <w:lang w:val="en-US" w:eastAsia="zh-CN"/>
        </w:rPr>
        <w:t>《江门市绿化工作指引》的要求挖掘种植穴</w:t>
      </w:r>
      <w:r>
        <w:rPr>
          <w:rFonts w:hint="eastAsia" w:ascii="仿宋_GB2312" w:hAnsi="仿宋_GB2312" w:eastAsia="仿宋_GB2312" w:cs="仿宋_GB2312"/>
          <w:color w:val="auto"/>
          <w:sz w:val="28"/>
          <w:szCs w:val="28"/>
          <w:highlight w:val="none"/>
          <w:lang w:val="en-US" w:eastAsia="zh-CN"/>
        </w:rPr>
        <w:t>,并严格按照设计方案、施工图或绿化专章（如有）要求施放基肥。</w:t>
      </w:r>
      <w:r>
        <w:rPr>
          <w:rFonts w:hint="eastAsia" w:ascii="仿宋_GB2312" w:hAnsi="仿宋_GB2312" w:eastAsia="仿宋_GB2312" w:cs="仿宋_GB2312"/>
          <w:color w:val="auto"/>
          <w:sz w:val="28"/>
          <w:szCs w:val="28"/>
          <w:highlight w:val="none"/>
          <w:lang w:eastAsia="zh-CN"/>
        </w:rPr>
        <w:t>清杂、挖树穴等隐蔽工程应全程影像留档并全部验收合格后方可进入下一种植步骤。</w:t>
      </w:r>
      <w:r>
        <w:rPr>
          <w:rFonts w:hint="eastAsia" w:ascii="仿宋_GB2312" w:hAnsi="仿宋_GB2312" w:eastAsia="仿宋_GB2312" w:cs="仿宋_GB2312"/>
          <w:color w:val="000000"/>
          <w:sz w:val="28"/>
          <w:szCs w:val="28"/>
          <w:highlight w:val="none"/>
        </w:rPr>
        <w:t>苗木</w:t>
      </w:r>
      <w:r>
        <w:rPr>
          <w:rFonts w:hint="eastAsia" w:ascii="仿宋_GB2312" w:hAnsi="仿宋_GB2312" w:eastAsia="仿宋_GB2312" w:cs="仿宋_GB2312"/>
          <w:color w:val="000000"/>
          <w:sz w:val="28"/>
          <w:szCs w:val="28"/>
          <w:highlight w:val="none"/>
          <w:lang w:val="en-US" w:eastAsia="zh-CN"/>
        </w:rPr>
        <w:t>应确保</w:t>
      </w:r>
      <w:r>
        <w:rPr>
          <w:rFonts w:hint="eastAsia" w:ascii="仿宋_GB2312" w:hAnsi="仿宋_GB2312" w:eastAsia="仿宋_GB2312" w:cs="仿宋_GB2312"/>
          <w:color w:val="000000"/>
          <w:sz w:val="28"/>
          <w:szCs w:val="28"/>
          <w:highlight w:val="none"/>
        </w:rPr>
        <w:t>当天到场当天种植，</w:t>
      </w:r>
      <w:r>
        <w:rPr>
          <w:rFonts w:hint="eastAsia" w:ascii="仿宋_GB2312" w:hAnsi="仿宋_GB2312" w:eastAsia="仿宋_GB2312" w:cs="仿宋_GB2312"/>
          <w:color w:val="000000"/>
          <w:sz w:val="28"/>
          <w:szCs w:val="28"/>
          <w:highlight w:val="none"/>
          <w:lang w:eastAsia="zh-CN"/>
        </w:rPr>
        <w:t>一般</w:t>
      </w:r>
      <w:r>
        <w:rPr>
          <w:rFonts w:hint="eastAsia" w:ascii="仿宋_GB2312" w:hAnsi="仿宋_GB2312" w:eastAsia="仿宋_GB2312" w:cs="仿宋_GB2312"/>
          <w:color w:val="000000"/>
          <w:sz w:val="28"/>
          <w:szCs w:val="28"/>
          <w:highlight w:val="none"/>
        </w:rPr>
        <w:t>不得过夜堆放。</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default"/>
          <w:highlight w:val="none"/>
          <w:lang w:val="en-US"/>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种植时保证苗木直立、根系舒展，及时支撑加固并加垫防护，种植后立即浇透定根水、</w:t>
      </w:r>
      <w:r>
        <w:rPr>
          <w:rFonts w:hint="eastAsia" w:ascii="仿宋_GB2312" w:hAnsi="仿宋_GB2312" w:eastAsia="仿宋_GB2312" w:cs="仿宋_GB2312"/>
          <w:color w:val="000000"/>
          <w:sz w:val="28"/>
          <w:szCs w:val="28"/>
          <w:highlight w:val="none"/>
          <w:lang w:val="en-US" w:eastAsia="zh-CN"/>
        </w:rPr>
        <w:t>围</w:t>
      </w:r>
      <w:r>
        <w:rPr>
          <w:rFonts w:hint="eastAsia" w:ascii="仿宋_GB2312" w:hAnsi="仿宋_GB2312" w:eastAsia="仿宋_GB2312" w:cs="仿宋_GB2312"/>
          <w:color w:val="000000"/>
          <w:sz w:val="28"/>
          <w:szCs w:val="28"/>
          <w:highlight w:val="none"/>
        </w:rPr>
        <w:t>堰。</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5.1.5绿化</w:t>
      </w:r>
      <w:r>
        <w:rPr>
          <w:rFonts w:hint="eastAsia" w:ascii="仿宋_GB2312" w:hAnsi="仿宋_GB2312" w:eastAsia="仿宋_GB2312" w:cs="仿宋_GB2312"/>
          <w:color w:val="000000"/>
          <w:sz w:val="28"/>
          <w:szCs w:val="28"/>
          <w:highlight w:val="none"/>
        </w:rPr>
        <w:t>养护期及成活率约定</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（1）绿化</w:t>
      </w:r>
      <w:r>
        <w:rPr>
          <w:rFonts w:hint="eastAsia" w:ascii="仿宋_GB2312" w:hAnsi="仿宋_GB2312" w:eastAsia="仿宋_GB2312" w:cs="仿宋_GB2312"/>
          <w:color w:val="000000"/>
          <w:sz w:val="28"/>
          <w:szCs w:val="28"/>
          <w:highlight w:val="none"/>
        </w:rPr>
        <w:t>养护期：地被植物、草坪及灌木不少于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个月，乔木</w:t>
      </w:r>
      <w:r>
        <w:rPr>
          <w:rFonts w:hint="eastAsia" w:ascii="仿宋_GB2312" w:hAnsi="仿宋_GB2312" w:eastAsia="仿宋_GB2312" w:cs="仿宋_GB2312"/>
          <w:color w:val="000000"/>
          <w:sz w:val="28"/>
          <w:szCs w:val="28"/>
          <w:highlight w:val="none"/>
          <w:lang w:val="en-US" w:eastAsia="zh-CN"/>
        </w:rPr>
        <w:t>绿化养护期</w:t>
      </w:r>
      <w:r>
        <w:rPr>
          <w:rFonts w:hint="eastAsia" w:ascii="仿宋_GB2312" w:hAnsi="仿宋_GB2312" w:eastAsia="仿宋_GB2312" w:cs="仿宋_GB2312"/>
          <w:color w:val="000000"/>
          <w:sz w:val="28"/>
          <w:szCs w:val="28"/>
          <w:highlight w:val="none"/>
        </w:rPr>
        <w:t>为</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rPr>
        <w:t>年，自本工程竣工验收合格之日起计算。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（2）绿化</w:t>
      </w:r>
      <w:r>
        <w:rPr>
          <w:rFonts w:hint="eastAsia" w:ascii="仿宋_GB2312" w:hAnsi="仿宋_GB2312" w:eastAsia="仿宋_GB2312" w:cs="仿宋_GB2312"/>
          <w:color w:val="000000"/>
          <w:sz w:val="28"/>
          <w:szCs w:val="28"/>
          <w:highlight w:val="none"/>
        </w:rPr>
        <w:t>养护期内承包人负责浇水、施肥、病虫害防治、除草、修剪、补植、设施维护</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保洁</w:t>
      </w:r>
      <w:r>
        <w:rPr>
          <w:rFonts w:hint="eastAsia" w:ascii="仿宋_GB2312" w:hAnsi="仿宋_GB2312" w:eastAsia="仿宋_GB2312" w:cs="仿宋_GB2312"/>
          <w:color w:val="000000"/>
          <w:sz w:val="28"/>
          <w:szCs w:val="28"/>
          <w:highlight w:val="none"/>
        </w:rPr>
        <w:t>等全部工作。</w:t>
      </w:r>
      <w:r>
        <w:rPr>
          <w:rFonts w:hint="eastAsia" w:ascii="仿宋_GB2312" w:hAnsi="仿宋_GB2312" w:eastAsia="仿宋_GB2312" w:cs="仿宋_GB2312"/>
          <w:color w:val="000000"/>
          <w:sz w:val="28"/>
          <w:szCs w:val="28"/>
          <w:highlight w:val="none"/>
          <w:lang w:val="en-US" w:eastAsia="zh-CN"/>
        </w:rPr>
        <w:t>绿化</w:t>
      </w:r>
      <w:r>
        <w:rPr>
          <w:rFonts w:hint="eastAsia" w:ascii="仿宋_GB2312" w:hAnsi="仿宋_GB2312" w:eastAsia="仿宋_GB2312" w:cs="仿宋_GB2312"/>
          <w:color w:val="000000"/>
          <w:sz w:val="28"/>
          <w:szCs w:val="28"/>
          <w:highlight w:val="none"/>
        </w:rPr>
        <w:t>养护期内苗木成活率：乔木100%，灌木及地被覆盖率不低于9</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（3）绿化</w:t>
      </w:r>
      <w:r>
        <w:rPr>
          <w:rFonts w:hint="eastAsia" w:ascii="仿宋_GB2312" w:hAnsi="仿宋_GB2312" w:eastAsia="仿宋_GB2312" w:cs="仿宋_GB2312"/>
          <w:color w:val="000000"/>
          <w:sz w:val="28"/>
          <w:szCs w:val="28"/>
          <w:highlight w:val="none"/>
        </w:rPr>
        <w:t>养护期</w:t>
      </w:r>
      <w:r>
        <w:rPr>
          <w:rFonts w:hint="eastAsia" w:ascii="仿宋_GB2312" w:hAnsi="仿宋_GB2312" w:eastAsia="仿宋_GB2312" w:cs="仿宋_GB2312"/>
          <w:color w:val="000000"/>
          <w:sz w:val="28"/>
          <w:szCs w:val="28"/>
          <w:highlight w:val="none"/>
          <w:lang w:val="en-US" w:eastAsia="zh-CN"/>
        </w:rPr>
        <w:t>届满后</w:t>
      </w:r>
      <w:r>
        <w:rPr>
          <w:rFonts w:hint="eastAsia" w:ascii="仿宋_GB2312" w:hAnsi="仿宋_GB2312" w:eastAsia="仿宋_GB2312" w:cs="仿宋_GB2312"/>
          <w:color w:val="000000"/>
          <w:sz w:val="28"/>
          <w:szCs w:val="28"/>
          <w:highlight w:val="none"/>
        </w:rPr>
        <w:t>移交</w:t>
      </w:r>
      <w:r>
        <w:rPr>
          <w:rFonts w:hint="eastAsia" w:ascii="仿宋_GB2312" w:hAnsi="仿宋_GB2312" w:eastAsia="仿宋_GB2312" w:cs="仿宋_GB2312"/>
          <w:color w:val="000000"/>
          <w:sz w:val="28"/>
          <w:szCs w:val="28"/>
          <w:highlight w:val="none"/>
          <w:lang w:val="en-US" w:eastAsia="zh-CN"/>
        </w:rPr>
        <w:t>给发包人的</w:t>
      </w:r>
      <w:r>
        <w:rPr>
          <w:rFonts w:hint="eastAsia" w:ascii="仿宋_GB2312" w:hAnsi="仿宋_GB2312" w:eastAsia="仿宋_GB2312" w:cs="仿宋_GB2312"/>
          <w:color w:val="000000"/>
          <w:sz w:val="28"/>
          <w:szCs w:val="28"/>
          <w:highlight w:val="none"/>
        </w:rPr>
        <w:t>苗木成活率：乔木100%，灌木及地被覆盖率不低于9</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562"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5.1.6</w:t>
      </w:r>
      <w:r>
        <w:rPr>
          <w:rFonts w:hint="eastAsia" w:ascii="仿宋_GB2312" w:hAnsi="仿宋_GB2312" w:eastAsia="仿宋_GB2312" w:cs="仿宋_GB2312"/>
          <w:color w:val="000000"/>
          <w:sz w:val="28"/>
          <w:szCs w:val="28"/>
          <w:highlight w:val="none"/>
        </w:rPr>
        <w:t>其他要求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苗木变更：</w:t>
      </w:r>
      <w:r>
        <w:rPr>
          <w:rFonts w:hint="eastAsia" w:ascii="仿宋_GB2312" w:hAnsi="仿宋_GB2312" w:eastAsia="仿宋_GB2312" w:cs="仿宋_GB2312"/>
          <w:color w:val="000000"/>
          <w:sz w:val="28"/>
          <w:szCs w:val="28"/>
          <w:highlight w:val="none"/>
          <w:lang w:val="en-US" w:eastAsia="zh-CN"/>
        </w:rPr>
        <w:t>承包人</w:t>
      </w:r>
      <w:r>
        <w:rPr>
          <w:rFonts w:hint="eastAsia" w:ascii="仿宋_GB2312" w:hAnsi="仿宋_GB2312" w:eastAsia="仿宋_GB2312" w:cs="仿宋_GB2312"/>
          <w:color w:val="000000"/>
          <w:sz w:val="28"/>
          <w:szCs w:val="28"/>
          <w:highlight w:val="none"/>
        </w:rPr>
        <w:t>严禁擅自变更</w:t>
      </w:r>
      <w:r>
        <w:rPr>
          <w:rFonts w:hint="eastAsia" w:ascii="仿宋_GB2312" w:hAnsi="仿宋_GB2312" w:eastAsia="仿宋_GB2312" w:cs="仿宋_GB2312"/>
          <w:color w:val="000000"/>
          <w:sz w:val="28"/>
          <w:szCs w:val="28"/>
          <w:highlight w:val="none"/>
          <w:lang w:val="en-US" w:eastAsia="zh-CN"/>
        </w:rPr>
        <w:t>本合同约定或</w:t>
      </w:r>
      <w:r>
        <w:rPr>
          <w:rFonts w:hint="eastAsia" w:ascii="仿宋_GB2312" w:hAnsi="仿宋_GB2312" w:eastAsia="仿宋_GB2312" w:cs="仿宋_GB2312"/>
          <w:color w:val="000000"/>
          <w:sz w:val="28"/>
          <w:szCs w:val="28"/>
          <w:highlight w:val="none"/>
        </w:rPr>
        <w:t>发包人</w:t>
      </w:r>
      <w:r>
        <w:rPr>
          <w:rFonts w:hint="eastAsia" w:ascii="仿宋_GB2312" w:hAnsi="仿宋_GB2312" w:eastAsia="仿宋_GB2312" w:cs="仿宋_GB2312"/>
          <w:color w:val="000000"/>
          <w:sz w:val="28"/>
          <w:szCs w:val="28"/>
          <w:highlight w:val="none"/>
          <w:lang w:val="en-US" w:eastAsia="zh-CN"/>
        </w:rPr>
        <w:t>要求的</w:t>
      </w:r>
      <w:r>
        <w:rPr>
          <w:rFonts w:hint="eastAsia" w:ascii="仿宋_GB2312" w:hAnsi="仿宋_GB2312" w:eastAsia="仿宋_GB2312" w:cs="仿宋_GB2312"/>
          <w:color w:val="000000"/>
          <w:sz w:val="28"/>
          <w:szCs w:val="28"/>
          <w:highlight w:val="none"/>
        </w:rPr>
        <w:t>苗木品种、规格，确需变更的，须经发包人、设计单位</w:t>
      </w:r>
      <w:r>
        <w:rPr>
          <w:rFonts w:hint="eastAsia" w:ascii="仿宋_GB2312" w:hAnsi="仿宋_GB2312" w:eastAsia="仿宋_GB2312" w:cs="仿宋_GB2312"/>
          <w:color w:val="000000"/>
          <w:sz w:val="28"/>
          <w:szCs w:val="28"/>
          <w:highlight w:val="none"/>
          <w:lang w:val="en-US" w:eastAsia="zh-CN"/>
        </w:rPr>
        <w:t>共同</w:t>
      </w:r>
      <w:r>
        <w:rPr>
          <w:rFonts w:hint="eastAsia" w:ascii="仿宋_GB2312" w:hAnsi="仿宋_GB2312" w:eastAsia="仿宋_GB2312" w:cs="仿宋_GB2312"/>
          <w:color w:val="000000"/>
          <w:sz w:val="28"/>
          <w:szCs w:val="28"/>
          <w:highlight w:val="none"/>
        </w:rPr>
        <w:t>书面确认。</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质量管控：承包人建立苗木进场验收台账，加强采购、种植全过程质量管控，严防以次充好、偷工减料。</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分包转包：严禁转包和违法分包，劳务分包须符合相关规定，严禁将主体工程分包。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5.2 质量检查与验收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5.2.1.</w:t>
      </w:r>
      <w:r>
        <w:rPr>
          <w:rFonts w:hint="eastAsia" w:ascii="仿宋_GB2312" w:hAnsi="仿宋_GB2312" w:eastAsia="仿宋_GB2312" w:cs="仿宋_GB2312"/>
          <w:color w:val="000000"/>
          <w:sz w:val="28"/>
          <w:szCs w:val="28"/>
          <w:highlight w:val="none"/>
        </w:rPr>
        <w:t>承包人建立质量自检体系，关键工序（苗木进场、种植、养护、隐蔽工程等）完成后报发包人、监理人验收</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验收合格方可进入下一</w:t>
      </w:r>
      <w:r>
        <w:rPr>
          <w:rFonts w:hint="eastAsia" w:ascii="仿宋_GB2312" w:hAnsi="仿宋_GB2312" w:eastAsia="仿宋_GB2312" w:cs="仿宋_GB2312"/>
          <w:color w:val="000000"/>
          <w:sz w:val="28"/>
          <w:szCs w:val="28"/>
          <w:highlight w:val="none"/>
          <w:lang w:val="en-US" w:eastAsia="zh-CN"/>
        </w:rPr>
        <w:t>道</w:t>
      </w:r>
      <w:r>
        <w:rPr>
          <w:rFonts w:hint="eastAsia" w:ascii="仿宋_GB2312" w:hAnsi="仿宋_GB2312" w:eastAsia="仿宋_GB2312" w:cs="仿宋_GB2312"/>
          <w:color w:val="000000"/>
          <w:sz w:val="28"/>
          <w:szCs w:val="28"/>
          <w:highlight w:val="none"/>
        </w:rPr>
        <w:t>工序。</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5.2.2.</w:t>
      </w:r>
      <w:r>
        <w:rPr>
          <w:rFonts w:hint="eastAsia" w:ascii="仿宋_GB2312" w:hAnsi="仿宋_GB2312" w:eastAsia="仿宋_GB2312" w:cs="仿宋_GB2312"/>
          <w:color w:val="000000"/>
          <w:sz w:val="28"/>
          <w:szCs w:val="28"/>
          <w:highlight w:val="none"/>
        </w:rPr>
        <w:t>发包人对苗木质量、种植过程、养护质量进行随机抽查，发现问题承包人须立即整改；拒不整改的，发包人有权暂停支付工程款</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解除合同</w:t>
      </w:r>
      <w:r>
        <w:rPr>
          <w:rFonts w:hint="eastAsia" w:ascii="仿宋_GB2312" w:hAnsi="仿宋_GB2312" w:eastAsia="仿宋_GB2312" w:cs="仿宋_GB2312"/>
          <w:color w:val="000000"/>
          <w:sz w:val="28"/>
          <w:szCs w:val="28"/>
          <w:highlight w:val="none"/>
          <w:lang w:eastAsia="zh-CN"/>
        </w:rPr>
        <w:t>，追究承包方违约责任。</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5.3 隐蔽工程检查</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承包人提前24小时通知监理人检查；监理人无法按时检查的，提前12小时书面延期，延期最长不超过24小时。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5.4</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6. 安全文明施工与环境保护</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6.1 安全文明施工</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6.1.1.</w:t>
      </w:r>
      <w:r>
        <w:rPr>
          <w:rFonts w:hint="eastAsia" w:ascii="仿宋_GB2312" w:hAnsi="仿宋_GB2312" w:eastAsia="仿宋_GB2312" w:cs="仿宋_GB2312"/>
          <w:color w:val="000000"/>
          <w:sz w:val="28"/>
          <w:szCs w:val="28"/>
          <w:highlight w:val="none"/>
        </w:rPr>
        <w:t>承包人严格遵守安全生产法律法规，设置安全警示标志，采取有效防护措施，防止人员伤亡和财产损失。</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6.1.2.</w:t>
      </w:r>
      <w:r>
        <w:rPr>
          <w:rFonts w:hint="eastAsia" w:ascii="仿宋_GB2312" w:hAnsi="仿宋_GB2312" w:eastAsia="仿宋_GB2312" w:cs="仿宋_GB2312"/>
          <w:color w:val="000000"/>
          <w:sz w:val="28"/>
          <w:szCs w:val="28"/>
          <w:highlight w:val="none"/>
        </w:rPr>
        <w:t>施工现场做到工完场清，材料堆放整齐，避免对周边环境、居民造成影响。</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6.3 环境保护</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施工垃圾、苗木废弃物及时清理，合规处置，不得随意丢弃。</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使用的农药、肥料为环保低毒产品，符合江门市环保要求，严禁使用高毒、高残留农药。</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6.4</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7. 工期和进度</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7.1 施工组织设计</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工程涉及现状树木保护、古树名木保护、土壤改良的，施工组织设计应包含上述内容的专项施工方案。</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7.</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 xml:space="preserve"> 工期延误</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因承包人原因导致工期延误的，每延误一日，承包人向发包人支付签约合同价万分之五的违约金。</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7.</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 xml:space="preserve"> 异常恶劣的气候条件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结合江门市气候特点，台风（≥10级）、连续暴雨（日降雨量≥100mm）、极端高温（≥38℃）等经双方确认的恶劣气候，视为异常恶劣气候条件，工期顺延。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7.4</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8. 材料与设备</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材料与工程设备的保管与使用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9. 试验与检验</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按通用合同条款执行；园林绿化专项试验（苗木检疫等，如有）按国家及江门市现行规范执行，检测费用由发包人承担，发包人应当在编制工程概预算时合理核算建设工程质量检测费用，单独列支并按照合同约定及时支付，检测报告报发包人、监理人备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10. 变更</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10.1 变更的范围</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施工过程中如需变更苗木品种、规格、数量，须经发包人、设计单位、监理人共同书面确认，承包人方可按变更要求施工。</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10.</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 xml:space="preserve"> 变更估价</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因变更增加的费用，按合同约定计价方式调整；无约定的，按江门市现行园林绿化工程定额及造价信息计价。</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10.3</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11. 价格调整</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本工程合同价格是否因市场价格波动调整：□是□否；若调整，采用江门市最新园林绿化工程造价信息作为基准，涨跌幅超过±5%的部分据实调整。</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2"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12. 合同价格、计量与支付</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rPr>
        <w:t>12.1 付款方式</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12.1.1.预付款：本合同签订后，承包人收到发包人开具发票的通知后，承包人向发包人开具合法有效的等额发票，发包人收到前述发票并审核无误后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个工作日内支付合同签约价的</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%（不超过 30%）作为预付款；</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12.1.2.进度款：按月支付，每月</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日前承包人报送已完成工程量，经发包人审核无误且收到发包人开具发票的通知后，承包人向发包人开具合法有效的等额发票，发包人收到前述发票并审核无误后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个工作日内支付至已完成工程量的【】%，且累计支付金额（含预付款、农民工工资专用账户款项等）不超过合同签约价的【】%。</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12.1.3.发包人支付的每笔工程款中</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%直接支付至农民工工资专用账户。</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rPr>
        <w:t>12.2 结算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工程竣工验收合格后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日内，承包人提交竣工结算资料；工程竣工验收合格且结算按照《江门市政府投资管理办法》（江府〔2024</w:t>
      </w:r>
      <w:r>
        <w:rPr>
          <w:rFonts w:hint="eastAsia" w:ascii="仿宋_GB2312" w:hAnsi="仿宋_GB2312" w:eastAsia="仿宋_GB2312" w:cs="仿宋_GB2312"/>
          <w:color w:val="000000"/>
          <w:kern w:val="2"/>
          <w:sz w:val="28"/>
          <w:szCs w:val="28"/>
          <w:highlight w:val="none"/>
          <w:lang w:val="en-US" w:eastAsia="zh-CN" w:bidi="ar"/>
        </w:rPr>
        <w:t>〕</w:t>
      </w:r>
      <w:r>
        <w:rPr>
          <w:rFonts w:hint="eastAsia" w:ascii="仿宋_GB2312" w:hAnsi="仿宋_GB2312" w:eastAsia="仿宋_GB2312" w:cs="仿宋_GB2312"/>
          <w:color w:val="000000"/>
          <w:sz w:val="28"/>
          <w:szCs w:val="28"/>
          <w:highlight w:val="none"/>
          <w:lang w:val="en-US" w:eastAsia="zh-CN"/>
        </w:rPr>
        <w:t>13号）第四十三条要求经财政部门或项目主管部门审核批复后十五个工作日内，工程款支付至结算定案价的</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%。若承包人未及时、完整提交竣工结算资料给发包人，导致财审部门审批迟延，发包人有权顺延付款至承包人完整提交竣工结算资料给发包人之日起</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日内。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绿化养护期满经专项验收苗木成活率等情况达到合同约定的条件的，发包人通知承包人开具发票、发包人收到承包人开具的发票并审核无误后</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个工作日内支付剩余的合同价余款。</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12.3</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13. 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rPr>
        <w:t xml:space="preserve">13.1 </w:t>
      </w:r>
      <w:r>
        <w:rPr>
          <w:rFonts w:hint="eastAsia" w:ascii="仿宋_GB2312" w:hAnsi="仿宋_GB2312" w:eastAsia="仿宋_GB2312" w:cs="仿宋_GB2312"/>
          <w:b/>
          <w:bCs/>
          <w:color w:val="000000"/>
          <w:sz w:val="28"/>
          <w:szCs w:val="28"/>
          <w:highlight w:val="none"/>
          <w:lang w:val="en-US" w:eastAsia="zh-CN"/>
        </w:rPr>
        <w:t>竣工验收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13.1.1.工程完工后，承包人提出竣工验收申请，发包人组织设计、监理、施工等单位验收。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13.1.2.验收内容包括苗木数量、品种、规格、成活率、景观效果、设施完善情况等。</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13.1.3.验收发现质量问题的，承包人须在</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日内整改完毕，整改完成后重新组织验收。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rPr>
        <w:t xml:space="preserve">13.2 </w:t>
      </w:r>
      <w:r>
        <w:rPr>
          <w:rFonts w:hint="eastAsia" w:ascii="仿宋_GB2312" w:hAnsi="仿宋_GB2312" w:eastAsia="仿宋_GB2312" w:cs="仿宋_GB2312"/>
          <w:b/>
          <w:bCs/>
          <w:color w:val="000000"/>
          <w:sz w:val="28"/>
          <w:szCs w:val="28"/>
          <w:highlight w:val="none"/>
          <w:lang w:val="en-US" w:eastAsia="zh-CN"/>
        </w:rPr>
        <w:t>绿化养护期验收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13.2.1.绿化养护期满后，发包人组织绿化养护期专项验收，重点核查苗木成活率、生长状况、景观效果、设施完好情况。</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13.2.2.地被植物、草坪及灌木，乔木在竣工验收后进入绿化养护期结束时，由建设单位组织绿化养护期专项验收。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13.3</w:t>
      </w: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14. 竣工结算</w:t>
      </w:r>
      <w:r>
        <w:rPr>
          <w:rFonts w:hint="eastAsia" w:ascii="仿宋_GB2312" w:hAnsi="仿宋_GB2312" w:eastAsia="仿宋_GB2312" w:cs="仿宋_GB2312"/>
          <w:color w:val="000000"/>
          <w:sz w:val="28"/>
          <w:szCs w:val="28"/>
          <w:highlight w:val="none"/>
          <w:lang w:eastAsia="zh-CN"/>
        </w:rPr>
        <w:t>资料</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按通用合同条款执行；竣工结算资料须包含苗木进场验收台账、养护记录、设计变更、养护期考核等园林绿化专项资料，符合江门市城建档案管理要求。</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15. 缺陷责任期与</w:t>
      </w:r>
      <w:r>
        <w:rPr>
          <w:rFonts w:hint="eastAsia" w:ascii="仿宋_GB2312" w:hAnsi="仿宋_GB2312" w:eastAsia="仿宋_GB2312" w:cs="仿宋_GB2312"/>
          <w:color w:val="000000"/>
          <w:sz w:val="28"/>
          <w:szCs w:val="28"/>
          <w:highlight w:val="none"/>
          <w:lang w:val="en-US" w:eastAsia="zh-CN"/>
        </w:rPr>
        <w:t>绿化</w:t>
      </w:r>
      <w:r>
        <w:rPr>
          <w:rFonts w:hint="eastAsia" w:ascii="仿宋_GB2312" w:hAnsi="仿宋_GB2312" w:eastAsia="仿宋_GB2312" w:cs="仿宋_GB2312"/>
          <w:color w:val="000000"/>
          <w:sz w:val="28"/>
          <w:szCs w:val="28"/>
          <w:highlight w:val="none"/>
        </w:rPr>
        <w:t>养护期</w:t>
      </w:r>
      <w:r>
        <w:rPr>
          <w:rFonts w:hint="eastAsia" w:ascii="仿宋_GB2312" w:hAnsi="仿宋_GB2312" w:eastAsia="仿宋_GB2312" w:cs="仿宋_GB2312"/>
          <w:color w:val="000000"/>
          <w:sz w:val="28"/>
          <w:szCs w:val="28"/>
          <w:highlight w:val="none"/>
          <w:lang w:val="en-US" w:eastAsia="zh-CN"/>
        </w:rPr>
        <w:t>的养护责任</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rPr>
        <w:t>15.1 缺陷责任期</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本工程缺陷责任期自本工程竣工验收合格之日起计算，</w:t>
      </w:r>
      <w:r>
        <w:rPr>
          <w:rFonts w:hint="eastAsia" w:ascii="仿宋_GB2312" w:hAnsi="仿宋_GB2312" w:eastAsia="仿宋_GB2312" w:cs="仿宋_GB2312"/>
          <w:color w:val="000000"/>
          <w:kern w:val="0"/>
          <w:sz w:val="28"/>
          <w:szCs w:val="28"/>
          <w:highlight w:val="none"/>
          <w:lang w:val="en-US" w:eastAsia="zh-CN" w:bidi="ar"/>
        </w:rPr>
        <w:t>地被植物、草坪及灌木为</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个月，乔木为</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年，园建及园林设施</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年（该缺陷责任期最长不超过2年）</w:t>
      </w:r>
      <w:r>
        <w:rPr>
          <w:rFonts w:hint="eastAsia" w:ascii="仿宋_GB2312" w:hAnsi="仿宋_GB2312" w:eastAsia="仿宋_GB2312" w:cs="仿宋_GB2312"/>
          <w:b w:val="0"/>
          <w:bCs w:val="0"/>
          <w:color w:val="000000"/>
          <w:kern w:val="2"/>
          <w:sz w:val="28"/>
          <w:szCs w:val="28"/>
          <w:highlight w:val="none"/>
          <w:lang w:val="en-US" w:eastAsia="zh-CN" w:bidi="ar-SA"/>
        </w:rPr>
        <w:t>。缺陷责任期内，因‌</w:t>
      </w:r>
      <w:r>
        <w:rPr>
          <w:rFonts w:hint="default" w:ascii="仿宋_GB2312" w:hAnsi="仿宋_GB2312" w:eastAsia="仿宋_GB2312" w:cs="仿宋_GB2312"/>
          <w:b w:val="0"/>
          <w:bCs w:val="0"/>
          <w:color w:val="000000"/>
          <w:kern w:val="2"/>
          <w:sz w:val="28"/>
          <w:szCs w:val="28"/>
          <w:highlight w:val="none"/>
          <w:lang w:val="en-US" w:eastAsia="zh-CN" w:bidi="ar-SA"/>
        </w:rPr>
        <w:t>承包人原因‌造成的缺陷，由承包人负责维修</w:t>
      </w:r>
      <w:r>
        <w:rPr>
          <w:rFonts w:hint="eastAsia" w:ascii="仿宋_GB2312" w:hAnsi="仿宋_GB2312" w:eastAsia="仿宋_GB2312" w:cs="仿宋_GB2312"/>
          <w:b w:val="0"/>
          <w:bCs w:val="0"/>
          <w:color w:val="000000"/>
          <w:kern w:val="2"/>
          <w:sz w:val="28"/>
          <w:szCs w:val="28"/>
          <w:highlight w:val="none"/>
          <w:lang w:val="en-US" w:eastAsia="zh-CN" w:bidi="ar-SA"/>
        </w:rPr>
        <w:t>更换</w:t>
      </w:r>
      <w:r>
        <w:rPr>
          <w:rFonts w:hint="default" w:ascii="仿宋_GB2312" w:hAnsi="仿宋_GB2312" w:eastAsia="仿宋_GB2312" w:cs="仿宋_GB2312"/>
          <w:b w:val="0"/>
          <w:bCs w:val="0"/>
          <w:color w:val="000000"/>
          <w:kern w:val="2"/>
          <w:sz w:val="28"/>
          <w:szCs w:val="28"/>
          <w:highlight w:val="none"/>
          <w:lang w:val="en-US" w:eastAsia="zh-CN" w:bidi="ar-SA"/>
        </w:rPr>
        <w:t>并承担费用；若拒不维修</w:t>
      </w:r>
      <w:r>
        <w:rPr>
          <w:rFonts w:hint="eastAsia" w:ascii="仿宋_GB2312" w:hAnsi="仿宋_GB2312" w:eastAsia="仿宋_GB2312" w:cs="仿宋_GB2312"/>
          <w:b w:val="0"/>
          <w:bCs w:val="0"/>
          <w:color w:val="000000"/>
          <w:kern w:val="2"/>
          <w:sz w:val="28"/>
          <w:szCs w:val="28"/>
          <w:highlight w:val="none"/>
          <w:lang w:val="en-US" w:eastAsia="zh-CN" w:bidi="ar-SA"/>
        </w:rPr>
        <w:t>更换</w:t>
      </w:r>
      <w:r>
        <w:rPr>
          <w:rFonts w:hint="default" w:ascii="仿宋_GB2312" w:hAnsi="仿宋_GB2312" w:eastAsia="仿宋_GB2312" w:cs="仿宋_GB2312"/>
          <w:b w:val="0"/>
          <w:bCs w:val="0"/>
          <w:color w:val="000000"/>
          <w:kern w:val="2"/>
          <w:sz w:val="28"/>
          <w:szCs w:val="28"/>
          <w:highlight w:val="none"/>
          <w:lang w:val="en-US" w:eastAsia="zh-CN" w:bidi="ar-SA"/>
        </w:rPr>
        <w:t>，发包人可从质量保证金中扣除</w:t>
      </w:r>
      <w:r>
        <w:rPr>
          <w:rFonts w:hint="eastAsia" w:ascii="仿宋_GB2312" w:hAnsi="仿宋_GB2312" w:eastAsia="仿宋_GB2312" w:cs="仿宋_GB2312"/>
          <w:b w:val="0"/>
          <w:bCs w:val="0"/>
          <w:color w:val="000000"/>
          <w:kern w:val="2"/>
          <w:sz w:val="28"/>
          <w:szCs w:val="28"/>
          <w:highlight w:val="none"/>
          <w:lang w:val="en-US" w:eastAsia="zh-CN" w:bidi="ar-SA"/>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rPr>
        <w:t>15.2 质量保证金</w:t>
      </w:r>
    </w:p>
    <w:p>
      <w:pPr>
        <w:pStyle w:val="4"/>
        <w:spacing w:beforeAutospacing="0" w:afterAutospacing="0" w:line="560" w:lineRule="exact"/>
        <w:ind w:firstLine="638" w:firstLineChars="228"/>
        <w:rPr>
          <w:rFonts w:hint="eastAsia" w:ascii="仿宋_GB2312" w:hAnsi="仿宋_GB2312" w:eastAsia="仿宋_GB2312" w:cs="仿宋_GB2312"/>
          <w:color w:val="000000"/>
          <w:sz w:val="28"/>
          <w:szCs w:val="28"/>
          <w:highlight w:val="none"/>
          <w:lang w:val="en-US" w:eastAsia="zh-CN"/>
        </w:rPr>
      </w:pPr>
      <w:r>
        <w:rPr>
          <w:rFonts w:hint="default" w:ascii="仿宋_GB2312" w:hAnsi="仿宋_GB2312" w:eastAsia="仿宋_GB2312" w:cs="仿宋_GB2312"/>
          <w:b w:val="0"/>
          <w:bCs w:val="0"/>
          <w:color w:val="auto"/>
          <w:kern w:val="2"/>
          <w:sz w:val="28"/>
          <w:szCs w:val="28"/>
          <w:highlight w:val="none"/>
          <w:lang w:val="en-US" w:eastAsia="zh-CN" w:bidi="ar-SA"/>
        </w:rPr>
        <w:t>质量保证金为结算定案价的3%</w:t>
      </w:r>
      <w:r>
        <w:rPr>
          <w:rFonts w:hint="eastAsia" w:ascii="仿宋_GB2312" w:hAnsi="仿宋_GB2312" w:eastAsia="仿宋_GB2312" w:cs="仿宋_GB2312"/>
          <w:b w:val="0"/>
          <w:bCs w:val="0"/>
          <w:color w:val="auto"/>
          <w:kern w:val="2"/>
          <w:sz w:val="28"/>
          <w:szCs w:val="28"/>
          <w:highlight w:val="none"/>
          <w:lang w:val="en-US" w:eastAsia="zh-CN" w:bidi="ar-SA"/>
        </w:rPr>
        <w:t>。</w:t>
      </w:r>
      <w:r>
        <w:rPr>
          <w:rFonts w:hint="default" w:ascii="仿宋_GB2312" w:hAnsi="仿宋_GB2312" w:eastAsia="仿宋_GB2312" w:cs="仿宋_GB2312"/>
          <w:b w:val="0"/>
          <w:bCs w:val="0"/>
          <w:color w:val="auto"/>
          <w:kern w:val="2"/>
          <w:sz w:val="28"/>
          <w:szCs w:val="28"/>
          <w:highlight w:val="none"/>
          <w:lang w:val="en-US" w:eastAsia="zh-CN" w:bidi="ar-SA"/>
        </w:rPr>
        <w:t>工程结算款支付至结算定案价的97%，工程结算款的3%作为质量保</w:t>
      </w:r>
      <w:r>
        <w:rPr>
          <w:rFonts w:hint="eastAsia" w:ascii="仿宋_GB2312" w:hAnsi="仿宋_GB2312" w:eastAsia="仿宋_GB2312" w:cs="仿宋_GB2312"/>
          <w:b w:val="0"/>
          <w:bCs w:val="0"/>
          <w:color w:val="auto"/>
          <w:kern w:val="2"/>
          <w:sz w:val="28"/>
          <w:szCs w:val="28"/>
          <w:highlight w:val="none"/>
          <w:lang w:val="en-US" w:eastAsia="zh-CN" w:bidi="ar-SA"/>
        </w:rPr>
        <w:t>证金。</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工程缺陷责任期满，承包人履行缺陷责任期内质量保修义务及绿化养护义务且合格移交后，在</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天内结清工程质量保证金。</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b/>
          <w:bCs/>
          <w:color w:val="000000"/>
          <w:kern w:val="2"/>
          <w:sz w:val="28"/>
          <w:szCs w:val="28"/>
          <w:highlight w:val="none"/>
          <w:lang w:val="en-US" w:eastAsia="zh-CN" w:bidi="ar-SA"/>
        </w:rPr>
      </w:pPr>
      <w:r>
        <w:rPr>
          <w:rFonts w:hint="eastAsia" w:ascii="仿宋_GB2312" w:hAnsi="仿宋_GB2312" w:eastAsia="仿宋_GB2312" w:cs="仿宋_GB2312"/>
          <w:b/>
          <w:bCs/>
          <w:color w:val="000000"/>
          <w:sz w:val="28"/>
          <w:szCs w:val="28"/>
          <w:highlight w:val="none"/>
        </w:rPr>
        <w:t>15.</w:t>
      </w:r>
      <w:r>
        <w:rPr>
          <w:rFonts w:hint="eastAsia" w:ascii="仿宋_GB2312" w:hAnsi="仿宋_GB2312" w:eastAsia="仿宋_GB2312" w:cs="仿宋_GB2312"/>
          <w:b/>
          <w:bCs/>
          <w:color w:val="000000"/>
          <w:sz w:val="28"/>
          <w:szCs w:val="28"/>
          <w:highlight w:val="none"/>
          <w:lang w:val="en-US" w:eastAsia="zh-CN"/>
        </w:rPr>
        <w:t>3</w:t>
      </w:r>
      <w:r>
        <w:rPr>
          <w:rFonts w:hint="eastAsia" w:ascii="仿宋_GB2312" w:hAnsi="仿宋_GB2312" w:eastAsia="仿宋_GB2312" w:cs="仿宋_GB2312"/>
          <w:b/>
          <w:bCs/>
          <w:color w:val="000000"/>
          <w:sz w:val="28"/>
          <w:szCs w:val="28"/>
          <w:highlight w:val="none"/>
        </w:rPr>
        <w:t xml:space="preserve"> 保修</w:t>
      </w:r>
    </w:p>
    <w:p>
      <w:pPr>
        <w:pStyle w:val="11"/>
        <w:spacing w:before="0" w:line="560" w:lineRule="exact"/>
        <w:ind w:right="57" w:firstLine="612"/>
        <w:jc w:val="left"/>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b w:val="0"/>
          <w:bCs w:val="0"/>
          <w:color w:val="000000"/>
          <w:kern w:val="2"/>
          <w:sz w:val="28"/>
          <w:szCs w:val="28"/>
          <w:highlight w:val="none"/>
          <w:lang w:val="en-US" w:eastAsia="zh-CN" w:bidi="ar-SA"/>
        </w:rPr>
        <w:t>15.3.1质量保修期、缺陷责任期期限一致；承包人须严格按照附件4苗木质量标准的相关要求对本项目进行保修，如发包人发现苗木质量发不到相关标准的，有权发出保修通知要求承包人对项目进行保修或更换苗木。承包人收到保修通知后7日内派人保修或更换，紧急事故立即到场抢修。若承包人逾期完成维修更换的，发包人可自行或委托第三方进行修理、更换，因此产生的费用、损失及风险由承包人承担，发包人可从质量保证金中扣除承包人应承担的费用，质量保证金不足以支付的，承包人还应继续支付。</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b/>
          <w:bCs/>
          <w:color w:val="000000"/>
          <w:kern w:val="2"/>
          <w:sz w:val="28"/>
          <w:szCs w:val="28"/>
          <w:highlight w:val="none"/>
          <w:lang w:val="en-US" w:eastAsia="zh-CN" w:bidi="ar-SA"/>
        </w:rPr>
      </w:pPr>
      <w:r>
        <w:rPr>
          <w:rFonts w:hint="eastAsia" w:ascii="仿宋_GB2312" w:hAnsi="仿宋_GB2312" w:eastAsia="仿宋_GB2312" w:cs="仿宋_GB2312"/>
          <w:b/>
          <w:bCs/>
          <w:color w:val="000000"/>
          <w:sz w:val="28"/>
          <w:szCs w:val="28"/>
          <w:highlight w:val="none"/>
        </w:rPr>
        <w:t>15.</w:t>
      </w:r>
      <w:r>
        <w:rPr>
          <w:rFonts w:hint="eastAsia" w:ascii="仿宋_GB2312" w:hAnsi="仿宋_GB2312" w:eastAsia="仿宋_GB2312" w:cs="仿宋_GB2312"/>
          <w:b/>
          <w:bCs/>
          <w:color w:val="000000"/>
          <w:sz w:val="28"/>
          <w:szCs w:val="28"/>
          <w:highlight w:val="none"/>
          <w:lang w:val="en-US" w:eastAsia="zh-CN"/>
        </w:rPr>
        <w:t>4</w:t>
      </w:r>
      <w:r>
        <w:rPr>
          <w:rFonts w:hint="eastAsia" w:ascii="仿宋_GB2312" w:hAnsi="仿宋_GB2312" w:eastAsia="仿宋_GB2312" w:cs="仿宋_GB2312"/>
          <w:b/>
          <w:bCs/>
          <w:color w:val="000000"/>
          <w:sz w:val="28"/>
          <w:szCs w:val="28"/>
          <w:highlight w:val="none"/>
        </w:rPr>
        <w:t xml:space="preserve"> </w:t>
      </w:r>
      <w:r>
        <w:rPr>
          <w:rFonts w:hint="eastAsia" w:ascii="仿宋_GB2312" w:hAnsi="仿宋_GB2312" w:eastAsia="仿宋_GB2312" w:cs="仿宋_GB2312"/>
          <w:b/>
          <w:bCs/>
          <w:color w:val="000000"/>
          <w:sz w:val="28"/>
          <w:szCs w:val="28"/>
          <w:highlight w:val="none"/>
          <w:lang w:eastAsia="zh-CN"/>
        </w:rPr>
        <w:t>绿化管养期</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15.</w:t>
      </w:r>
      <w:r>
        <w:rPr>
          <w:rFonts w:hint="eastAsia" w:ascii="仿宋_GB2312" w:hAnsi="仿宋_GB2312" w:eastAsia="仿宋_GB2312" w:cs="仿宋_GB2312"/>
          <w:color w:val="000000"/>
          <w:sz w:val="28"/>
          <w:szCs w:val="28"/>
          <w:highlight w:val="none"/>
          <w:lang w:val="en-US" w:eastAsia="zh-CN"/>
        </w:rPr>
        <w:t>4.1.绿化养护期内水电费支付：□发包人承担□承包人承担；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15.</w:t>
      </w:r>
      <w:r>
        <w:rPr>
          <w:rFonts w:hint="eastAsia" w:ascii="仿宋_GB2312" w:hAnsi="仿宋_GB2312" w:eastAsia="仿宋_GB2312" w:cs="仿宋_GB2312"/>
          <w:color w:val="000000"/>
          <w:sz w:val="28"/>
          <w:szCs w:val="28"/>
          <w:highlight w:val="none"/>
          <w:lang w:val="en-US" w:eastAsia="zh-CN"/>
        </w:rPr>
        <w:t>4.2.养护期内承包人接受发包人日常考核，月度养护费用（若有）按属地制定的养护管理考评办法分档次计算。养护期内苗木成活率未达约定标准的，发包人有权从质量保证金中扣除第三方补植费用。养护期内苗木成活率未达约定标准的，甲方有权发出通知要求承包人补植，承包人收到通知后7日内派人补植。若承包人逾期完成补植的，发包人可自行或委托第三方进行补植，因此产生的费用、损失及风险由承包人承担，发包人可从质量保证金中扣除承包人应承担的费用，质量保证金不足以支付的，承包人还应继续支付。</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16. 违约</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16.1 承包人违约</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16.1.1.</w:t>
      </w:r>
      <w:r>
        <w:rPr>
          <w:rFonts w:hint="eastAsia" w:ascii="仿宋_GB2312" w:hAnsi="仿宋_GB2312" w:eastAsia="仿宋_GB2312" w:cs="仿宋_GB2312"/>
          <w:b w:val="0"/>
          <w:bCs w:val="0"/>
          <w:color w:val="000000"/>
          <w:kern w:val="2"/>
          <w:sz w:val="28"/>
          <w:szCs w:val="28"/>
          <w:highlight w:val="none"/>
          <w:lang w:val="en-US" w:eastAsia="zh-CN" w:bidi="ar-SA"/>
        </w:rPr>
        <w:t>使用不合格苗木的，发包人有权要求退换，并按不合格苗木价值的</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%支付违约金（</w:t>
      </w:r>
      <w:r>
        <w:rPr>
          <w:rFonts w:hint="eastAsia" w:ascii="仿宋_GB2312" w:hAnsi="仿宋_GB2312" w:eastAsia="仿宋_GB2312" w:cs="仿宋_GB2312"/>
          <w:b w:val="0"/>
          <w:bCs w:val="0"/>
          <w:color w:val="000000"/>
          <w:kern w:val="2"/>
          <w:sz w:val="28"/>
          <w:szCs w:val="28"/>
          <w:highlight w:val="none"/>
          <w:lang w:val="en-US" w:eastAsia="zh-CN" w:bidi="ar"/>
        </w:rPr>
        <w:t>该违约金额一般</w:t>
      </w:r>
      <w:r>
        <w:rPr>
          <w:rFonts w:hint="eastAsia" w:ascii="仿宋_GB2312" w:hAnsi="仿宋_GB2312" w:eastAsia="仿宋_GB2312" w:cs="仿宋_GB2312"/>
          <w:color w:val="000000"/>
          <w:kern w:val="2"/>
          <w:sz w:val="28"/>
          <w:szCs w:val="28"/>
          <w:highlight w:val="none"/>
          <w:lang w:val="en-US" w:eastAsia="zh-CN" w:bidi="ar"/>
        </w:rPr>
        <w:t>不超过承包人造成损失的30%）</w:t>
      </w:r>
      <w:r>
        <w:rPr>
          <w:rFonts w:hint="eastAsia" w:ascii="仿宋_GB2312" w:hAnsi="仿宋_GB2312" w:eastAsia="仿宋_GB2312" w:cs="仿宋_GB2312"/>
          <w:b w:val="0"/>
          <w:bCs w:val="0"/>
          <w:color w:val="000000"/>
          <w:kern w:val="2"/>
          <w:sz w:val="28"/>
          <w:szCs w:val="28"/>
          <w:highlight w:val="none"/>
          <w:lang w:val="en-US" w:eastAsia="zh-CN" w:bidi="ar-SA"/>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16.1.</w:t>
      </w:r>
      <w:r>
        <w:rPr>
          <w:rFonts w:hint="eastAsia" w:ascii="仿宋_GB2312" w:hAnsi="仿宋_GB2312" w:eastAsia="仿宋_GB2312" w:cs="仿宋_GB2312"/>
          <w:b w:val="0"/>
          <w:bCs w:val="0"/>
          <w:color w:val="000000"/>
          <w:kern w:val="2"/>
          <w:sz w:val="28"/>
          <w:szCs w:val="28"/>
          <w:highlight w:val="none"/>
          <w:lang w:val="en-US" w:eastAsia="zh-CN" w:bidi="ar-SA"/>
        </w:rPr>
        <w:t>2.发包方发现承包方存在转包、违法分包行为的，应书面通知承包方限期整改，承包方在收到通知后7日内未整改的，发包方可解除合同。并要求承包人支付签约合同价</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%的违约金（</w:t>
      </w:r>
      <w:r>
        <w:rPr>
          <w:rFonts w:hint="eastAsia" w:ascii="仿宋_GB2312" w:hAnsi="仿宋_GB2312" w:eastAsia="仿宋_GB2312" w:cs="仿宋_GB2312"/>
          <w:b w:val="0"/>
          <w:bCs w:val="0"/>
          <w:color w:val="000000"/>
          <w:kern w:val="2"/>
          <w:sz w:val="28"/>
          <w:szCs w:val="28"/>
          <w:highlight w:val="none"/>
          <w:lang w:val="en-US" w:eastAsia="zh-CN" w:bidi="ar"/>
        </w:rPr>
        <w:t>该违约金额一般</w:t>
      </w:r>
      <w:r>
        <w:rPr>
          <w:rFonts w:hint="eastAsia" w:ascii="仿宋_GB2312" w:hAnsi="仿宋_GB2312" w:eastAsia="仿宋_GB2312" w:cs="仿宋_GB2312"/>
          <w:color w:val="000000"/>
          <w:kern w:val="2"/>
          <w:sz w:val="28"/>
          <w:szCs w:val="28"/>
          <w:highlight w:val="none"/>
          <w:lang w:val="en-US" w:eastAsia="zh-CN" w:bidi="ar"/>
        </w:rPr>
        <w:t>不超过承包人造成损失的30%）</w:t>
      </w:r>
      <w:r>
        <w:rPr>
          <w:rFonts w:hint="eastAsia" w:ascii="仿宋_GB2312" w:hAnsi="仿宋_GB2312" w:eastAsia="仿宋_GB2312" w:cs="仿宋_GB2312"/>
          <w:b w:val="0"/>
          <w:bCs w:val="0"/>
          <w:color w:val="000000"/>
          <w:kern w:val="2"/>
          <w:sz w:val="28"/>
          <w:szCs w:val="28"/>
          <w:highlight w:val="none"/>
          <w:lang w:val="en-US" w:eastAsia="zh-CN" w:bidi="ar-SA"/>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16.1.3.</w:t>
      </w:r>
      <w:r>
        <w:rPr>
          <w:rFonts w:hint="eastAsia" w:ascii="仿宋_GB2312" w:hAnsi="仿宋_GB2312" w:eastAsia="仿宋_GB2312" w:cs="仿宋_GB2312"/>
          <w:b w:val="0"/>
          <w:bCs w:val="0"/>
          <w:color w:val="000000"/>
          <w:kern w:val="2"/>
          <w:sz w:val="28"/>
          <w:szCs w:val="28"/>
          <w:highlight w:val="none"/>
          <w:lang w:val="en-US" w:eastAsia="zh-CN" w:bidi="ar-SA"/>
        </w:rPr>
        <w:t>因承包人原因导致工程质量不合格的，承包人无偿返工，承担增加费用和延误工期的违约责任；情节严重的发包人有权解除合同并要求承包人支付签约合同价</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%的违约金（</w:t>
      </w:r>
      <w:r>
        <w:rPr>
          <w:rFonts w:hint="eastAsia" w:ascii="仿宋_GB2312" w:hAnsi="仿宋_GB2312" w:eastAsia="仿宋_GB2312" w:cs="仿宋_GB2312"/>
          <w:b w:val="0"/>
          <w:bCs w:val="0"/>
          <w:color w:val="000000"/>
          <w:kern w:val="2"/>
          <w:sz w:val="28"/>
          <w:szCs w:val="28"/>
          <w:highlight w:val="none"/>
          <w:lang w:val="en-US" w:eastAsia="zh-CN" w:bidi="ar"/>
        </w:rPr>
        <w:t>该违约金额一般</w:t>
      </w:r>
      <w:r>
        <w:rPr>
          <w:rFonts w:hint="eastAsia" w:ascii="仿宋_GB2312" w:hAnsi="仿宋_GB2312" w:eastAsia="仿宋_GB2312" w:cs="仿宋_GB2312"/>
          <w:color w:val="000000"/>
          <w:kern w:val="2"/>
          <w:sz w:val="28"/>
          <w:szCs w:val="28"/>
          <w:highlight w:val="none"/>
          <w:lang w:val="en-US" w:eastAsia="zh-CN" w:bidi="ar"/>
        </w:rPr>
        <w:t>不超过承包人造成损失的30%）</w:t>
      </w:r>
      <w:r>
        <w:rPr>
          <w:rFonts w:hint="eastAsia" w:ascii="仿宋_GB2312" w:hAnsi="仿宋_GB2312" w:eastAsia="仿宋_GB2312" w:cs="仿宋_GB2312"/>
          <w:b w:val="0"/>
          <w:bCs w:val="0"/>
          <w:color w:val="000000"/>
          <w:kern w:val="2"/>
          <w:sz w:val="28"/>
          <w:szCs w:val="28"/>
          <w:highlight w:val="none"/>
          <w:lang w:val="en-US" w:eastAsia="zh-CN" w:bidi="ar-SA"/>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16.1.</w:t>
      </w:r>
      <w:r>
        <w:rPr>
          <w:rFonts w:hint="eastAsia" w:ascii="仿宋_GB2312" w:hAnsi="仿宋_GB2312" w:eastAsia="仿宋_GB2312" w:cs="仿宋_GB2312"/>
          <w:b w:val="0"/>
          <w:bCs w:val="0"/>
          <w:color w:val="000000"/>
          <w:kern w:val="2"/>
          <w:sz w:val="28"/>
          <w:szCs w:val="28"/>
          <w:highlight w:val="none"/>
          <w:lang w:val="en-US" w:eastAsia="zh-CN" w:bidi="ar-SA"/>
        </w:rPr>
        <w:t>4.养护期内苗木成活率未达约定标准的，甲方有权发出通知要求承包人补植，承包人收到通知后7日内派人补植。若承包人逾期完成补植的，发包人可自行或委托第三方进行补植，因此产生的费用、损失及风险由承包人承担，发包人可从质量保证金中扣除承包人应承担的费用，质量保证金不足以支付的，承包人还应继续支付。</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16.1.</w:t>
      </w:r>
      <w:r>
        <w:rPr>
          <w:rFonts w:hint="eastAsia" w:ascii="仿宋_GB2312" w:hAnsi="仿宋_GB2312" w:eastAsia="仿宋_GB2312" w:cs="仿宋_GB2312"/>
          <w:b w:val="0"/>
          <w:bCs w:val="0"/>
          <w:color w:val="000000"/>
          <w:kern w:val="2"/>
          <w:sz w:val="28"/>
          <w:szCs w:val="28"/>
          <w:highlight w:val="none"/>
          <w:lang w:val="en-US" w:eastAsia="zh-CN" w:bidi="ar-SA"/>
        </w:rPr>
        <w:t>5.承包人未经发包人同意擅自更换施工现场主要管理人员的，发包人书面通知承包方限期整改，承包方在收到通知后7日内未整改的，发包方可解除合同。并要求承包人支付签约合同价</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%的违约金（</w:t>
      </w:r>
      <w:r>
        <w:rPr>
          <w:rFonts w:hint="eastAsia" w:ascii="仿宋_GB2312" w:hAnsi="仿宋_GB2312" w:eastAsia="仿宋_GB2312" w:cs="仿宋_GB2312"/>
          <w:b w:val="0"/>
          <w:bCs w:val="0"/>
          <w:color w:val="000000"/>
          <w:kern w:val="2"/>
          <w:sz w:val="28"/>
          <w:szCs w:val="28"/>
          <w:highlight w:val="none"/>
          <w:lang w:val="en-US" w:eastAsia="zh-CN" w:bidi="ar"/>
        </w:rPr>
        <w:t>该违约金额一般</w:t>
      </w:r>
      <w:r>
        <w:rPr>
          <w:rFonts w:hint="eastAsia" w:ascii="仿宋_GB2312" w:hAnsi="仿宋_GB2312" w:eastAsia="仿宋_GB2312" w:cs="仿宋_GB2312"/>
          <w:color w:val="000000"/>
          <w:kern w:val="2"/>
          <w:sz w:val="28"/>
          <w:szCs w:val="28"/>
          <w:highlight w:val="none"/>
          <w:lang w:val="en-US" w:eastAsia="zh-CN" w:bidi="ar"/>
        </w:rPr>
        <w:t>不超过承包人造成损失的30%）</w:t>
      </w:r>
      <w:r>
        <w:rPr>
          <w:rFonts w:hint="eastAsia" w:ascii="仿宋_GB2312" w:hAnsi="仿宋_GB2312" w:eastAsia="仿宋_GB2312" w:cs="仿宋_GB2312"/>
          <w:b w:val="0"/>
          <w:bCs w:val="0"/>
          <w:color w:val="000000"/>
          <w:kern w:val="2"/>
          <w:sz w:val="28"/>
          <w:szCs w:val="28"/>
          <w:highlight w:val="none"/>
          <w:lang w:val="en-US" w:eastAsia="zh-CN" w:bidi="ar-SA"/>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default" w:ascii="仿宋_GB2312" w:hAnsi="仿宋_GB2312" w:eastAsia="仿宋_GB2312" w:cs="仿宋_GB2312"/>
          <w:b w:val="0"/>
          <w:bCs w:val="0"/>
          <w:color w:val="000000"/>
          <w:kern w:val="2"/>
          <w:sz w:val="28"/>
          <w:szCs w:val="28"/>
          <w:highlight w:val="none"/>
          <w:lang w:val="en-US" w:eastAsia="zh-CN" w:bidi="ar-SA"/>
        </w:rPr>
      </w:pPr>
      <w:r>
        <w:rPr>
          <w:rFonts w:hint="default" w:ascii="仿宋_GB2312" w:hAnsi="仿宋_GB2312" w:eastAsia="仿宋_GB2312" w:cs="仿宋_GB2312"/>
          <w:b w:val="0"/>
          <w:bCs w:val="0"/>
          <w:color w:val="000000"/>
          <w:kern w:val="2"/>
          <w:sz w:val="28"/>
          <w:szCs w:val="28"/>
          <w:highlight w:val="none"/>
          <w:lang w:val="en-US" w:eastAsia="zh-CN" w:bidi="ar-SA"/>
        </w:rPr>
        <w:t>16.1.6发包人有权直接从应付工程款、质量保证金或履约担保（如有）中扣除承包人应支付的违约金，如违约金</w:t>
      </w:r>
      <w:r>
        <w:rPr>
          <w:rFonts w:hint="eastAsia" w:ascii="仿宋_GB2312" w:hAnsi="仿宋_GB2312" w:eastAsia="仿宋_GB2312" w:cs="仿宋_GB2312"/>
          <w:b w:val="0"/>
          <w:bCs w:val="0"/>
          <w:color w:val="000000"/>
          <w:kern w:val="2"/>
          <w:sz w:val="28"/>
          <w:szCs w:val="28"/>
          <w:highlight w:val="none"/>
          <w:lang w:val="en-US" w:eastAsia="zh-CN" w:bidi="ar-SA"/>
        </w:rPr>
        <w:t>不足以</w:t>
      </w:r>
      <w:r>
        <w:rPr>
          <w:rFonts w:hint="default" w:ascii="仿宋_GB2312" w:hAnsi="仿宋_GB2312" w:eastAsia="仿宋_GB2312" w:cs="仿宋_GB2312"/>
          <w:b w:val="0"/>
          <w:bCs w:val="0"/>
          <w:color w:val="000000"/>
          <w:kern w:val="2"/>
          <w:sz w:val="28"/>
          <w:szCs w:val="28"/>
          <w:highlight w:val="none"/>
          <w:lang w:val="en-US" w:eastAsia="zh-CN" w:bidi="ar-SA"/>
        </w:rPr>
        <w:t>弥补发包人相应损失，发包人有权</w:t>
      </w:r>
      <w:r>
        <w:rPr>
          <w:rFonts w:hint="eastAsia" w:ascii="仿宋_GB2312" w:hAnsi="仿宋_GB2312" w:eastAsia="仿宋_GB2312" w:cs="仿宋_GB2312"/>
          <w:b w:val="0"/>
          <w:bCs w:val="0"/>
          <w:color w:val="000000"/>
          <w:kern w:val="2"/>
          <w:sz w:val="28"/>
          <w:szCs w:val="28"/>
          <w:highlight w:val="none"/>
          <w:lang w:val="en-US" w:eastAsia="zh-CN" w:bidi="ar-SA"/>
        </w:rPr>
        <w:t>继续</w:t>
      </w:r>
      <w:r>
        <w:rPr>
          <w:rFonts w:hint="default" w:ascii="仿宋_GB2312" w:hAnsi="仿宋_GB2312" w:eastAsia="仿宋_GB2312" w:cs="仿宋_GB2312"/>
          <w:b w:val="0"/>
          <w:bCs w:val="0"/>
          <w:color w:val="000000"/>
          <w:kern w:val="2"/>
          <w:sz w:val="28"/>
          <w:szCs w:val="28"/>
          <w:highlight w:val="none"/>
          <w:lang w:val="en-US" w:eastAsia="zh-CN" w:bidi="ar-SA"/>
        </w:rPr>
        <w:t>向承包人追偿；</w:t>
      </w:r>
      <w:r>
        <w:rPr>
          <w:rFonts w:hint="eastAsia" w:ascii="仿宋_GB2312" w:hAnsi="仿宋_GB2312" w:eastAsia="仿宋_GB2312" w:cs="仿宋_GB2312"/>
          <w:b w:val="0"/>
          <w:bCs w:val="0"/>
          <w:color w:val="000000"/>
          <w:kern w:val="2"/>
          <w:sz w:val="28"/>
          <w:szCs w:val="28"/>
          <w:highlight w:val="none"/>
          <w:lang w:val="en-US" w:eastAsia="zh-CN" w:bidi="ar-SA"/>
        </w:rPr>
        <w:t>承包人</w:t>
      </w:r>
      <w:r>
        <w:rPr>
          <w:rFonts w:hint="default" w:ascii="仿宋_GB2312" w:hAnsi="仿宋_GB2312" w:eastAsia="仿宋_GB2312" w:cs="仿宋_GB2312"/>
          <w:b w:val="0"/>
          <w:bCs w:val="0"/>
          <w:color w:val="000000"/>
          <w:kern w:val="2"/>
          <w:sz w:val="28"/>
          <w:szCs w:val="28"/>
          <w:highlight w:val="none"/>
          <w:lang w:val="en-US" w:eastAsia="zh-CN" w:bidi="ar-SA"/>
        </w:rPr>
        <w:t>未按</w:t>
      </w:r>
      <w:r>
        <w:rPr>
          <w:rFonts w:hint="eastAsia" w:ascii="仿宋_GB2312" w:hAnsi="仿宋_GB2312" w:eastAsia="仿宋_GB2312" w:cs="仿宋_GB2312"/>
          <w:b w:val="0"/>
          <w:bCs w:val="0"/>
          <w:color w:val="000000"/>
          <w:kern w:val="2"/>
          <w:sz w:val="28"/>
          <w:szCs w:val="28"/>
          <w:highlight w:val="none"/>
          <w:lang w:val="en-US" w:eastAsia="zh-CN" w:bidi="ar-SA"/>
        </w:rPr>
        <w:t>发包人</w:t>
      </w:r>
      <w:r>
        <w:rPr>
          <w:rFonts w:hint="default" w:ascii="仿宋_GB2312" w:hAnsi="仿宋_GB2312" w:eastAsia="仿宋_GB2312" w:cs="仿宋_GB2312"/>
          <w:b w:val="0"/>
          <w:bCs w:val="0"/>
          <w:color w:val="000000"/>
          <w:kern w:val="2"/>
          <w:sz w:val="28"/>
          <w:szCs w:val="28"/>
          <w:highlight w:val="none"/>
          <w:lang w:val="en-US" w:eastAsia="zh-CN" w:bidi="ar-SA"/>
        </w:rPr>
        <w:t>要求完成整改的，发包人有权拒绝支付任何后续工程款直至违约行为纠正完毕</w:t>
      </w:r>
      <w:r>
        <w:rPr>
          <w:rFonts w:hint="eastAsia" w:ascii="仿宋_GB2312" w:hAnsi="仿宋_GB2312" w:eastAsia="仿宋_GB2312" w:cs="仿宋_GB2312"/>
          <w:b w:val="0"/>
          <w:bCs w:val="0"/>
          <w:color w:val="000000"/>
          <w:kern w:val="2"/>
          <w:sz w:val="28"/>
          <w:szCs w:val="28"/>
          <w:highlight w:val="none"/>
          <w:lang w:val="en-US" w:eastAsia="zh-CN" w:bidi="ar-SA"/>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16.2 发包人违约</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其他子项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无特殊约定，按通用合同条款执行。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17. 不可抗力</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按通用合同条款执行</w:t>
      </w:r>
      <w:r>
        <w:rPr>
          <w:rFonts w:hint="eastAsia" w:ascii="仿宋_GB2312" w:hAnsi="仿宋_GB2312" w:eastAsia="仿宋_GB2312" w:cs="仿宋_GB2312"/>
          <w:b w:val="0"/>
          <w:bCs w:val="0"/>
          <w:color w:val="000000"/>
          <w:kern w:val="2"/>
          <w:sz w:val="28"/>
          <w:szCs w:val="28"/>
          <w:highlight w:val="none"/>
          <w:lang w:val="en-US" w:eastAsia="zh-CN" w:bidi="ar-SA"/>
        </w:rPr>
        <w:t>；江门市范围内台风、暴雨等气象灾害按本合同专用合同条款第7.3条认定，不可抗力发生后承包人应及时采取园林绿化专项防护措施（如苗木加固、排水等）。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rPr>
        <w:t>18. 保险</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18.1.承包人按规定为其施工/养护人员购买工伤保险和人身意外伤害险（强制要求）。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18.2.鼓励承包人购买工程一切险，保险费用由承包人承担。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18.3.保险凭证须报发包人备案，保险期限覆盖施工及养护全周期。</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19. 索赔</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en-US" w:eastAsia="zh-CN" w:bidi="ar"/>
        </w:rPr>
        <w:t>按通用合同条款执行。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rPr>
        <w:t>20. 争议解决</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20.1.因合同及合同履行发生争议的，双方协商解决；协商不成的，可向工程所在地建设行政主管部门申请调解。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20.2.调解不成的，按下列第</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种方式解决：（1）向江门仲裁委员会申请仲裁；（2）向工程所在地有管辖权的人民法院提起诉讼。</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b w:val="0"/>
          <w:bCs w:val="0"/>
          <w:color w:val="000000"/>
          <w:kern w:val="2"/>
          <w:sz w:val="28"/>
          <w:szCs w:val="28"/>
          <w:highlight w:val="none"/>
          <w:lang w:val="en-US" w:eastAsia="zh-CN" w:bidi="ar-SA"/>
        </w:rPr>
        <w:sectPr>
          <w:footerReference r:id="rId9" w:type="default"/>
          <w:pgSz w:w="11620" w:h="16240"/>
          <w:pgMar w:top="1440" w:right="1800" w:bottom="1440" w:left="1800" w:header="0" w:footer="901" w:gutter="0"/>
          <w:pgNumType w:fmt="decimal" w:start="1"/>
          <w:cols w:space="720" w:num="1"/>
        </w:sectPr>
      </w:pPr>
      <w:r>
        <w:rPr>
          <w:rFonts w:hint="eastAsia" w:ascii="仿宋_GB2312" w:hAnsi="仿宋_GB2312" w:eastAsia="仿宋_GB2312" w:cs="仿宋_GB2312"/>
          <w:b w:val="0"/>
          <w:bCs w:val="0"/>
          <w:color w:val="000000"/>
          <w:kern w:val="2"/>
          <w:sz w:val="28"/>
          <w:szCs w:val="28"/>
          <w:highlight w:val="none"/>
          <w:lang w:val="en-US" w:eastAsia="zh-CN" w:bidi="ar-SA"/>
        </w:rPr>
        <w:t>20.3.合同签订地为江门市</w:t>
      </w:r>
      <w:r>
        <w:rPr>
          <w:rFonts w:hint="eastAsia" w:ascii="仿宋_GB2312" w:hAnsi="仿宋_GB2312" w:eastAsia="仿宋_GB2312" w:cs="仿宋_GB2312"/>
          <w:b w:val="0"/>
          <w:bCs w:val="0"/>
          <w:color w:val="000000"/>
          <w:kern w:val="2"/>
          <w:sz w:val="28"/>
          <w:szCs w:val="28"/>
          <w:highlight w:val="none"/>
          <w:u w:val="single"/>
          <w:lang w:val="en-US" w:eastAsia="zh-CN" w:bidi="ar-SA"/>
        </w:rPr>
        <w:t xml:space="preserve">         </w:t>
      </w:r>
      <w:r>
        <w:rPr>
          <w:rFonts w:hint="eastAsia" w:ascii="仿宋_GB2312" w:hAnsi="仿宋_GB2312" w:eastAsia="仿宋_GB2312" w:cs="仿宋_GB2312"/>
          <w:b w:val="0"/>
          <w:bCs w:val="0"/>
          <w:color w:val="000000"/>
          <w:kern w:val="2"/>
          <w:sz w:val="28"/>
          <w:szCs w:val="28"/>
          <w:highlight w:val="none"/>
          <w:lang w:val="en-US" w:eastAsia="zh-CN" w:bidi="ar-SA"/>
        </w:rPr>
        <w:t>区（县、市）。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附件 1 </w:t>
      </w:r>
    </w:p>
    <w:p>
      <w:pPr>
        <w:spacing w:before="117" w:line="222" w:lineRule="auto"/>
        <w:ind w:left="4894"/>
        <w:outlineLvl w:val="0"/>
        <w:rPr>
          <w:rFonts w:ascii="黑体" w:hAnsi="黑体" w:eastAsia="黑体" w:cs="黑体"/>
          <w:sz w:val="29"/>
          <w:szCs w:val="29"/>
          <w:highlight w:val="none"/>
          <w:lang w:eastAsia="zh-CN"/>
        </w:rPr>
      </w:pPr>
      <w:r>
        <w:rPr>
          <w:rFonts w:ascii="黑体" w:hAnsi="黑体" w:eastAsia="黑体" w:cs="黑体"/>
          <w:b/>
          <w:bCs/>
          <w:spacing w:val="-4"/>
          <w:sz w:val="29"/>
          <w:szCs w:val="29"/>
          <w:highlight w:val="none"/>
          <w:lang w:eastAsia="zh-CN"/>
        </w:rPr>
        <w:t>承包人承揽工程项目一览表</w:t>
      </w:r>
    </w:p>
    <w:p>
      <w:pPr>
        <w:spacing w:line="200" w:lineRule="exact"/>
        <w:rPr>
          <w:highlight w:val="none"/>
          <w:lang w:eastAsia="zh-CN"/>
        </w:rPr>
      </w:pPr>
    </w:p>
    <w:tbl>
      <w:tblPr>
        <w:tblStyle w:val="33"/>
        <w:tblW w:w="13259" w:type="dxa"/>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4"/>
        <w:gridCol w:w="1629"/>
        <w:gridCol w:w="4786"/>
        <w:gridCol w:w="2048"/>
        <w:gridCol w:w="1778"/>
        <w:gridCol w:w="16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374" w:type="dxa"/>
            <w:vAlign w:val="top"/>
          </w:tcPr>
          <w:p>
            <w:pPr>
              <w:pStyle w:val="57"/>
              <w:spacing w:before="117" w:line="242" w:lineRule="auto"/>
              <w:ind w:left="104" w:right="78" w:hanging="30"/>
              <w:rPr>
                <w:sz w:val="30"/>
                <w:szCs w:val="30"/>
                <w:highlight w:val="none"/>
              </w:rPr>
            </w:pPr>
            <w:r>
              <w:rPr>
                <w:spacing w:val="2"/>
                <w:sz w:val="30"/>
                <w:szCs w:val="30"/>
                <w:highlight w:val="none"/>
              </w:rPr>
              <w:t>单位工程</w:t>
            </w:r>
            <w:r>
              <w:rPr>
                <w:spacing w:val="1"/>
                <w:sz w:val="30"/>
                <w:szCs w:val="30"/>
                <w:highlight w:val="none"/>
              </w:rPr>
              <w:t xml:space="preserve"> </w:t>
            </w:r>
            <w:r>
              <w:rPr>
                <w:spacing w:val="-8"/>
                <w:sz w:val="30"/>
                <w:szCs w:val="30"/>
                <w:highlight w:val="none"/>
              </w:rPr>
              <w:t>名</w:t>
            </w:r>
            <w:r>
              <w:rPr>
                <w:spacing w:val="43"/>
                <w:sz w:val="30"/>
                <w:szCs w:val="30"/>
                <w:highlight w:val="none"/>
              </w:rPr>
              <w:t xml:space="preserve">   </w:t>
            </w:r>
            <w:r>
              <w:rPr>
                <w:spacing w:val="-8"/>
                <w:sz w:val="30"/>
                <w:szCs w:val="30"/>
                <w:highlight w:val="none"/>
              </w:rPr>
              <w:t>称</w:t>
            </w:r>
          </w:p>
        </w:tc>
        <w:tc>
          <w:tcPr>
            <w:tcW w:w="1629" w:type="dxa"/>
            <w:vAlign w:val="top"/>
          </w:tcPr>
          <w:p>
            <w:pPr>
              <w:pStyle w:val="57"/>
              <w:spacing w:before="317" w:line="219" w:lineRule="auto"/>
              <w:ind w:left="280"/>
              <w:rPr>
                <w:sz w:val="30"/>
                <w:szCs w:val="30"/>
                <w:highlight w:val="none"/>
              </w:rPr>
            </w:pPr>
            <w:r>
              <w:rPr>
                <w:spacing w:val="3"/>
                <w:sz w:val="30"/>
                <w:szCs w:val="30"/>
                <w:highlight w:val="none"/>
              </w:rPr>
              <w:t>建设规模</w:t>
            </w:r>
          </w:p>
        </w:tc>
        <w:tc>
          <w:tcPr>
            <w:tcW w:w="4786" w:type="dxa"/>
            <w:vAlign w:val="top"/>
          </w:tcPr>
          <w:p>
            <w:pPr>
              <w:pStyle w:val="57"/>
              <w:spacing w:before="317" w:line="219" w:lineRule="auto"/>
              <w:ind w:left="1851"/>
              <w:rPr>
                <w:sz w:val="30"/>
                <w:szCs w:val="30"/>
                <w:highlight w:val="none"/>
              </w:rPr>
            </w:pPr>
            <w:r>
              <w:rPr>
                <w:spacing w:val="3"/>
                <w:sz w:val="30"/>
                <w:szCs w:val="30"/>
                <w:highlight w:val="none"/>
              </w:rPr>
              <w:t>主要内容</w:t>
            </w:r>
          </w:p>
        </w:tc>
        <w:tc>
          <w:tcPr>
            <w:tcW w:w="2048" w:type="dxa"/>
            <w:vAlign w:val="top"/>
          </w:tcPr>
          <w:p>
            <w:pPr>
              <w:pStyle w:val="57"/>
              <w:spacing w:before="314" w:line="218" w:lineRule="auto"/>
              <w:ind w:left="105"/>
              <w:rPr>
                <w:sz w:val="30"/>
                <w:szCs w:val="30"/>
                <w:highlight w:val="none"/>
              </w:rPr>
            </w:pPr>
            <w:r>
              <w:rPr>
                <w:spacing w:val="9"/>
                <w:sz w:val="30"/>
                <w:szCs w:val="30"/>
                <w:highlight w:val="none"/>
              </w:rPr>
              <w:t>合同价格(元)</w:t>
            </w:r>
          </w:p>
        </w:tc>
        <w:tc>
          <w:tcPr>
            <w:tcW w:w="1778" w:type="dxa"/>
            <w:vAlign w:val="top"/>
          </w:tcPr>
          <w:p>
            <w:pPr>
              <w:pStyle w:val="57"/>
              <w:spacing w:before="318" w:line="220" w:lineRule="auto"/>
              <w:ind w:left="347"/>
              <w:rPr>
                <w:sz w:val="30"/>
                <w:szCs w:val="30"/>
                <w:highlight w:val="none"/>
              </w:rPr>
            </w:pPr>
            <w:r>
              <w:rPr>
                <w:spacing w:val="4"/>
                <w:sz w:val="30"/>
                <w:szCs w:val="30"/>
                <w:highlight w:val="none"/>
              </w:rPr>
              <w:t>开工日期</w:t>
            </w:r>
          </w:p>
        </w:tc>
        <w:tc>
          <w:tcPr>
            <w:tcW w:w="1644" w:type="dxa"/>
            <w:vAlign w:val="top"/>
          </w:tcPr>
          <w:p>
            <w:pPr>
              <w:pStyle w:val="57"/>
              <w:spacing w:before="317" w:line="219" w:lineRule="auto"/>
              <w:ind w:left="289"/>
              <w:rPr>
                <w:sz w:val="30"/>
                <w:szCs w:val="30"/>
                <w:highlight w:val="none"/>
              </w:rPr>
            </w:pPr>
            <w:r>
              <w:rPr>
                <w:spacing w:val="4"/>
                <w:sz w:val="30"/>
                <w:szCs w:val="30"/>
                <w:highlight w:val="none"/>
              </w:rPr>
              <w:t>竣工日期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374" w:type="dxa"/>
            <w:vAlign w:val="top"/>
          </w:tcPr>
          <w:p>
            <w:pPr>
              <w:rPr>
                <w:highlight w:val="none"/>
              </w:rPr>
            </w:pPr>
          </w:p>
        </w:tc>
        <w:tc>
          <w:tcPr>
            <w:tcW w:w="1629" w:type="dxa"/>
            <w:vAlign w:val="top"/>
          </w:tcPr>
          <w:p>
            <w:pPr>
              <w:rPr>
                <w:highlight w:val="none"/>
              </w:rPr>
            </w:pPr>
          </w:p>
        </w:tc>
        <w:tc>
          <w:tcPr>
            <w:tcW w:w="4786" w:type="dxa"/>
            <w:vAlign w:val="top"/>
          </w:tcPr>
          <w:p>
            <w:pPr>
              <w:rPr>
                <w:highlight w:val="none"/>
              </w:rPr>
            </w:pPr>
          </w:p>
        </w:tc>
        <w:tc>
          <w:tcPr>
            <w:tcW w:w="2048" w:type="dxa"/>
            <w:vAlign w:val="top"/>
          </w:tcPr>
          <w:p>
            <w:pPr>
              <w:rPr>
                <w:highlight w:val="none"/>
              </w:rPr>
            </w:pPr>
          </w:p>
        </w:tc>
        <w:tc>
          <w:tcPr>
            <w:tcW w:w="1778" w:type="dxa"/>
            <w:vAlign w:val="top"/>
          </w:tcPr>
          <w:p>
            <w:pPr>
              <w:rPr>
                <w:highlight w:val="none"/>
              </w:rPr>
            </w:pPr>
          </w:p>
        </w:tc>
        <w:tc>
          <w:tcPr>
            <w:tcW w:w="1644" w:type="dxa"/>
            <w:vAlign w:val="top"/>
          </w:tcPr>
          <w:p>
            <w:pPr>
              <w:rPr>
                <w:highlight w:val="none"/>
              </w:rPr>
            </w:pPr>
          </w:p>
        </w:tc>
      </w:tr>
    </w:tbl>
    <w:p>
      <w:pPr>
        <w:rPr>
          <w:highlight w:val="none"/>
        </w:rPr>
      </w:pPr>
    </w:p>
    <w:p>
      <w:pPr>
        <w:rPr>
          <w:highlight w:val="none"/>
        </w:rPr>
        <w:sectPr>
          <w:type w:val="continuous"/>
          <w:pgSz w:w="16240" w:h="11620" w:orient="landscape"/>
          <w:pgMar w:top="1800" w:right="1440" w:bottom="1800" w:left="1440" w:header="0" w:footer="901" w:gutter="0"/>
          <w:pgNumType w:fmt="decimal"/>
          <w:cols w:space="720" w:num="1"/>
        </w:sectPr>
      </w:pPr>
    </w:p>
    <w:p>
      <w:pPr>
        <w:rPr>
          <w:rFonts w:hint="eastAsia"/>
          <w:highlight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仿宋_GB2312" w:hAnsi="仿宋_GB2312" w:eastAsia="仿宋_GB2312" w:cs="仿宋_GB2312"/>
          <w:color w:val="000000"/>
          <w:sz w:val="28"/>
          <w:szCs w:val="28"/>
          <w:highlight w:val="none"/>
        </w:rPr>
        <w:sectPr>
          <w:footerReference r:id="rId10" w:type="default"/>
          <w:pgSz w:w="16240" w:h="11620"/>
          <w:pgMar w:top="400" w:right="1275" w:bottom="1185" w:left="1345" w:header="0" w:footer="1023" w:gutter="0"/>
          <w:pgNumType w:fmt="decimal"/>
          <w:cols w:space="720" w:num="1"/>
        </w:sect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附件 2 </w:t>
      </w:r>
    </w:p>
    <w:p>
      <w:pPr>
        <w:spacing w:before="197" w:line="222" w:lineRule="auto"/>
        <w:ind w:left="5749"/>
        <w:outlineLvl w:val="0"/>
        <w:rPr>
          <w:rFonts w:ascii="黑体" w:hAnsi="黑体" w:eastAsia="黑体" w:cs="黑体"/>
          <w:sz w:val="29"/>
          <w:szCs w:val="29"/>
          <w:highlight w:val="none"/>
        </w:rPr>
      </w:pPr>
      <w:r>
        <w:rPr>
          <w:rFonts w:ascii="黑体" w:hAnsi="黑体" w:eastAsia="黑体" w:cs="黑体"/>
          <w:b/>
          <w:bCs/>
          <w:spacing w:val="-5"/>
          <w:sz w:val="29"/>
          <w:szCs w:val="29"/>
          <w:highlight w:val="none"/>
        </w:rPr>
        <w:t>现状树木一览表</w:t>
      </w:r>
    </w:p>
    <w:p>
      <w:pPr>
        <w:spacing w:line="200" w:lineRule="exact"/>
        <w:rPr>
          <w:highlight w:val="none"/>
        </w:rPr>
      </w:pPr>
    </w:p>
    <w:tbl>
      <w:tblPr>
        <w:tblStyle w:val="33"/>
        <w:tblW w:w="136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4"/>
        <w:gridCol w:w="1559"/>
        <w:gridCol w:w="1009"/>
        <w:gridCol w:w="1179"/>
        <w:gridCol w:w="3487"/>
        <w:gridCol w:w="1919"/>
        <w:gridCol w:w="2128"/>
        <w:gridCol w:w="10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1304" w:type="dxa"/>
            <w:vAlign w:val="top"/>
          </w:tcPr>
          <w:p>
            <w:pPr>
              <w:pStyle w:val="57"/>
              <w:spacing w:before="296" w:line="219" w:lineRule="auto"/>
              <w:ind w:left="84"/>
              <w:rPr>
                <w:highlight w:val="none"/>
              </w:rPr>
            </w:pPr>
            <w:r>
              <w:rPr>
                <w:spacing w:val="3"/>
                <w:highlight w:val="none"/>
              </w:rPr>
              <w:t>树木名称</w:t>
            </w:r>
          </w:p>
        </w:tc>
        <w:tc>
          <w:tcPr>
            <w:tcW w:w="1559" w:type="dxa"/>
            <w:vAlign w:val="top"/>
          </w:tcPr>
          <w:p>
            <w:pPr>
              <w:pStyle w:val="57"/>
              <w:spacing w:before="296" w:line="219" w:lineRule="auto"/>
              <w:ind w:left="500"/>
              <w:rPr>
                <w:highlight w:val="none"/>
              </w:rPr>
            </w:pPr>
            <w:r>
              <w:rPr>
                <w:spacing w:val="5"/>
                <w:highlight w:val="none"/>
              </w:rPr>
              <w:t>规格</w:t>
            </w:r>
          </w:p>
        </w:tc>
        <w:tc>
          <w:tcPr>
            <w:tcW w:w="1009" w:type="dxa"/>
            <w:vAlign w:val="top"/>
          </w:tcPr>
          <w:p>
            <w:pPr>
              <w:pStyle w:val="57"/>
              <w:spacing w:before="296" w:line="219" w:lineRule="auto"/>
              <w:ind w:left="231"/>
              <w:rPr>
                <w:highlight w:val="none"/>
              </w:rPr>
            </w:pPr>
            <w:r>
              <w:rPr>
                <w:spacing w:val="5"/>
                <w:highlight w:val="none"/>
              </w:rPr>
              <w:t>数量</w:t>
            </w:r>
          </w:p>
        </w:tc>
        <w:tc>
          <w:tcPr>
            <w:tcW w:w="1179" w:type="dxa"/>
            <w:vAlign w:val="top"/>
          </w:tcPr>
          <w:p>
            <w:pPr>
              <w:pStyle w:val="57"/>
              <w:spacing w:before="297" w:line="220" w:lineRule="auto"/>
              <w:ind w:left="342"/>
              <w:rPr>
                <w:highlight w:val="none"/>
              </w:rPr>
            </w:pPr>
            <w:r>
              <w:rPr>
                <w:spacing w:val="5"/>
                <w:highlight w:val="none"/>
              </w:rPr>
              <w:t>单位</w:t>
            </w:r>
          </w:p>
        </w:tc>
        <w:tc>
          <w:tcPr>
            <w:tcW w:w="3487" w:type="dxa"/>
            <w:vAlign w:val="top"/>
          </w:tcPr>
          <w:p>
            <w:pPr>
              <w:pStyle w:val="57"/>
              <w:spacing w:before="297" w:line="220" w:lineRule="auto"/>
              <w:ind w:left="1213"/>
              <w:rPr>
                <w:highlight w:val="none"/>
              </w:rPr>
            </w:pPr>
            <w:r>
              <w:rPr>
                <w:spacing w:val="3"/>
                <w:highlight w:val="none"/>
              </w:rPr>
              <w:t>生长情况</w:t>
            </w:r>
          </w:p>
        </w:tc>
        <w:tc>
          <w:tcPr>
            <w:tcW w:w="1919" w:type="dxa"/>
            <w:vAlign w:val="top"/>
          </w:tcPr>
          <w:p>
            <w:pPr>
              <w:pStyle w:val="57"/>
              <w:spacing w:before="296" w:line="219" w:lineRule="auto"/>
              <w:ind w:left="147"/>
              <w:rPr>
                <w:highlight w:val="none"/>
              </w:rPr>
            </w:pPr>
            <w:r>
              <w:rPr>
                <w:spacing w:val="2"/>
                <w:highlight w:val="none"/>
              </w:rPr>
              <w:t>是否古树名木</w:t>
            </w:r>
          </w:p>
        </w:tc>
        <w:tc>
          <w:tcPr>
            <w:tcW w:w="2128" w:type="dxa"/>
            <w:vAlign w:val="top"/>
          </w:tcPr>
          <w:p>
            <w:pPr>
              <w:pStyle w:val="57"/>
              <w:spacing w:before="297" w:line="220" w:lineRule="auto"/>
              <w:ind w:left="547"/>
              <w:rPr>
                <w:highlight w:val="none"/>
              </w:rPr>
            </w:pPr>
            <w:r>
              <w:rPr>
                <w:spacing w:val="3"/>
                <w:highlight w:val="none"/>
              </w:rPr>
              <w:t>处置情况</w:t>
            </w:r>
          </w:p>
        </w:tc>
        <w:tc>
          <w:tcPr>
            <w:tcW w:w="1024" w:type="dxa"/>
            <w:vAlign w:val="top"/>
          </w:tcPr>
          <w:p>
            <w:pPr>
              <w:pStyle w:val="57"/>
              <w:spacing w:before="298" w:line="221" w:lineRule="auto"/>
              <w:ind w:left="259"/>
              <w:rPr>
                <w:highlight w:val="none"/>
              </w:rPr>
            </w:pPr>
            <w:r>
              <w:rPr>
                <w:spacing w:val="7"/>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304" w:type="dxa"/>
            <w:vAlign w:val="top"/>
          </w:tcPr>
          <w:p>
            <w:pPr>
              <w:rPr>
                <w:highlight w:val="none"/>
              </w:rPr>
            </w:pPr>
          </w:p>
        </w:tc>
        <w:tc>
          <w:tcPr>
            <w:tcW w:w="1559" w:type="dxa"/>
            <w:vAlign w:val="top"/>
          </w:tcPr>
          <w:p>
            <w:pPr>
              <w:rPr>
                <w:highlight w:val="none"/>
              </w:rPr>
            </w:pPr>
          </w:p>
        </w:tc>
        <w:tc>
          <w:tcPr>
            <w:tcW w:w="1009" w:type="dxa"/>
            <w:vAlign w:val="top"/>
          </w:tcPr>
          <w:p>
            <w:pPr>
              <w:rPr>
                <w:highlight w:val="none"/>
              </w:rPr>
            </w:pPr>
          </w:p>
        </w:tc>
        <w:tc>
          <w:tcPr>
            <w:tcW w:w="1179" w:type="dxa"/>
            <w:vAlign w:val="top"/>
          </w:tcPr>
          <w:p>
            <w:pPr>
              <w:rPr>
                <w:highlight w:val="none"/>
              </w:rPr>
            </w:pPr>
          </w:p>
        </w:tc>
        <w:tc>
          <w:tcPr>
            <w:tcW w:w="3487" w:type="dxa"/>
            <w:vAlign w:val="top"/>
          </w:tcPr>
          <w:p>
            <w:pPr>
              <w:rPr>
                <w:highlight w:val="none"/>
              </w:rPr>
            </w:pPr>
          </w:p>
        </w:tc>
        <w:tc>
          <w:tcPr>
            <w:tcW w:w="1919" w:type="dxa"/>
            <w:vAlign w:val="top"/>
          </w:tcPr>
          <w:p>
            <w:pPr>
              <w:rPr>
                <w:highlight w:val="none"/>
              </w:rPr>
            </w:pPr>
          </w:p>
        </w:tc>
        <w:tc>
          <w:tcPr>
            <w:tcW w:w="2128" w:type="dxa"/>
            <w:vAlign w:val="top"/>
          </w:tcPr>
          <w:p>
            <w:pPr>
              <w:rPr>
                <w:highlight w:val="none"/>
              </w:rPr>
            </w:pPr>
          </w:p>
        </w:tc>
        <w:tc>
          <w:tcPr>
            <w:tcW w:w="1024" w:type="dxa"/>
            <w:vAlign w:val="top"/>
          </w:tcPr>
          <w:p>
            <w:pPr>
              <w:rPr>
                <w:highlight w:val="none"/>
              </w:rPr>
            </w:pPr>
          </w:p>
        </w:tc>
      </w:tr>
    </w:tbl>
    <w:p>
      <w:pPr>
        <w:rPr>
          <w:highlight w:val="none"/>
        </w:rPr>
      </w:pPr>
    </w:p>
    <w:p>
      <w:pPr>
        <w:rPr>
          <w:highlight w:val="none"/>
        </w:rPr>
        <w:sectPr>
          <w:type w:val="continuous"/>
          <w:pgSz w:w="16240" w:h="11620"/>
          <w:pgMar w:top="400" w:right="1275" w:bottom="1185" w:left="1345" w:header="0" w:footer="1023" w:gutter="0"/>
          <w:pgNumType w:fmt="decimal"/>
          <w:cols w:space="720" w:num="1"/>
        </w:sect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附件 </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 xml:space="preserve"> </w:t>
      </w:r>
    </w:p>
    <w:p>
      <w:pPr>
        <w:spacing w:before="258" w:line="221" w:lineRule="auto"/>
        <w:ind w:left="3234"/>
        <w:outlineLvl w:val="0"/>
        <w:rPr>
          <w:rFonts w:ascii="黑体" w:hAnsi="黑体" w:eastAsia="黑体" w:cs="黑体"/>
          <w:sz w:val="30"/>
          <w:szCs w:val="30"/>
          <w:highlight w:val="none"/>
        </w:rPr>
      </w:pPr>
      <w:r>
        <w:rPr>
          <w:rFonts w:ascii="黑体" w:hAnsi="黑体" w:eastAsia="黑体" w:cs="黑体"/>
          <w:b/>
          <w:bCs/>
          <w:spacing w:val="2"/>
          <w:sz w:val="30"/>
          <w:szCs w:val="30"/>
          <w:highlight w:val="none"/>
        </w:rPr>
        <w:t>绿化养护责任书</w:t>
      </w:r>
    </w:p>
    <w:p>
      <w:pPr>
        <w:spacing w:line="321" w:lineRule="auto"/>
        <w:rPr>
          <w:highlight w:val="none"/>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发包人和承包人根据《园林绿化养护标准》（CJJ/T287）或</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（地方标准）等相关规定，经协商一致就</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lang w:val="en-US" w:eastAsia="zh-CN"/>
        </w:rPr>
        <w:tab/>
      </w:r>
      <w:r>
        <w:rPr>
          <w:rFonts w:hint="eastAsia" w:ascii="仿宋_GB2312" w:hAnsi="仿宋_GB2312" w:eastAsia="仿宋_GB2312" w:cs="仿宋_GB2312"/>
          <w:color w:val="000000"/>
          <w:sz w:val="28"/>
          <w:szCs w:val="28"/>
          <w:highlight w:val="none"/>
          <w:u w:val="single"/>
          <w:lang w:val="en-US" w:eastAsia="zh-CN"/>
        </w:rPr>
        <w:tab/>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（工程全称）签订绿化养护责任书。</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一、责任范围和内容</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承包人在绿化养护期内，按照有关法律规定和合同约定，承担施工范围内的绿化养护责任。</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lang w:val="en-US" w:eastAsia="zh-CN"/>
        </w:rPr>
        <w:t>内容包括对养护范围内植物采取的整形修剪、松土除草、灌溉与排水、施肥、有害生物防治、改植与补植、绿地防护（如防台风、防寒）等技术措施；其他内容双方约定如下：</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二、养护标准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绿化养护质量按照□《园林绿化养护标准》 （CJJ/T287）或</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（地方标准）中</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级标准。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三、考核标准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由发包人按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（□国家标准□行业标准 □地方标准）中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级标准进行考核，扣减的相关费用从质量保证金中扣除。</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四、绿化养护期</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绿化养护期</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个月，从工程竣工验收合格之日起计算。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五、养护责任</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1.为确保养护质量，承包人应安排专业队伍和人员进行养护管理。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承包人在养护过程中应采取安全措施，避免造成对第三方人身和财产的损害。因承包人操作不当、管理不善而造成人身伤害或财产损失的，由承包人承担。发生紧急事故需处置的，承包人在接到事故通知后，应当立即到达事故现场处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3.苗木成活率按合同约定执行，发生苗木等植物材料死亡，须按原设计品种和规格及时更换，更换费用由承包人承担。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4.绿化养护期满后，由发包人组织验收。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5.其他责任约定：</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六、养护费用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养护费用由承包人承担。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七、其他约定</w:t>
      </w:r>
      <w:r>
        <w:rPr>
          <w:rFonts w:hint="eastAsia" w:ascii="仿宋_GB2312" w:hAnsi="仿宋_GB2312" w:eastAsia="仿宋_GB2312" w:cs="仿宋_GB2312"/>
          <w:color w:val="000000"/>
          <w:sz w:val="28"/>
          <w:szCs w:val="28"/>
          <w:highlight w:val="none"/>
          <w:lang w:val="en-US" w:eastAsia="zh-CN"/>
        </w:rPr>
        <w:t>：</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38" w:firstLineChars="228"/>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绿化养护责任书由发包人、承包人在工程竣工验收前共同签署，作为施工合同附件，其有效期限至绿化养护期满。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发包人：（公章）                承包人：（公章）</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法定代表人或其委托代理人：     法定代表人或其委托代理人：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（签字）                         （签字）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地  址：                        地  址：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电 话：                         电  话：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日    期 ： 年   月   日        日   期 ：    年  月    日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8"/>
          <w:szCs w:val="28"/>
          <w:highlight w:val="none"/>
          <w:lang w:val="en-US" w:eastAsia="zh-CN"/>
        </w:rPr>
      </w:pPr>
    </w:p>
    <w:p>
      <w:pPr>
        <w:pStyle w:val="11"/>
        <w:keepNext w:val="0"/>
        <w:keepLines w:val="0"/>
        <w:pageBreakBefore w:val="0"/>
        <w:kinsoku/>
        <w:wordWrap/>
        <w:overflowPunct/>
        <w:topLinePunct w:val="0"/>
        <w:autoSpaceDE/>
        <w:autoSpaceDN/>
        <w:bidi w:val="0"/>
        <w:adjustRightInd/>
        <w:snapToGrid/>
        <w:spacing w:before="229" w:line="560" w:lineRule="exact"/>
        <w:ind w:right="54"/>
        <w:textAlignment w:val="auto"/>
        <w:rPr>
          <w:rFonts w:hint="eastAsia" w:ascii="仿宋_GB2312" w:hAnsi="仿宋_GB2312" w:eastAsia="仿宋_GB2312" w:cs="仿宋_GB2312"/>
          <w:b/>
          <w:bCs/>
          <w:spacing w:val="0"/>
          <w:sz w:val="28"/>
          <w:szCs w:val="28"/>
          <w:highlight w:val="none"/>
          <w:lang w:eastAsia="zh-CN"/>
        </w:rPr>
      </w:pPr>
    </w:p>
    <w:p>
      <w:pPr>
        <w:keepNext w:val="0"/>
        <w:keepLines w:val="0"/>
        <w:pageBreakBefore w:val="0"/>
        <w:kinsoku/>
        <w:wordWrap/>
        <w:overflowPunct/>
        <w:topLinePunct w:val="0"/>
        <w:autoSpaceDE/>
        <w:autoSpaceDN/>
        <w:bidi w:val="0"/>
        <w:adjustRightInd/>
        <w:snapToGrid/>
        <w:spacing w:before="229" w:line="560" w:lineRule="exact"/>
        <w:ind w:right="54"/>
        <w:textAlignment w:val="auto"/>
        <w:rPr>
          <w:rFonts w:hint="eastAsia" w:ascii="仿宋_GB2312" w:hAnsi="仿宋_GB2312" w:eastAsia="仿宋_GB2312" w:cs="仿宋_GB2312"/>
          <w:b/>
          <w:bCs/>
          <w:spacing w:val="0"/>
          <w:sz w:val="28"/>
          <w:szCs w:val="28"/>
          <w:highlight w:val="none"/>
          <w:lang w:eastAsia="zh-CN"/>
        </w:rPr>
      </w:pPr>
      <w:r>
        <w:rPr>
          <w:rFonts w:hint="eastAsia" w:ascii="仿宋_GB2312" w:hAnsi="仿宋_GB2312" w:eastAsia="仿宋_GB2312" w:cs="仿宋_GB2312"/>
          <w:b/>
          <w:bCs/>
          <w:spacing w:val="0"/>
          <w:sz w:val="28"/>
          <w:szCs w:val="28"/>
          <w:highlight w:val="none"/>
          <w:lang w:eastAsia="zh-CN"/>
        </w:rPr>
        <w:br w:type="page"/>
      </w:r>
    </w:p>
    <w:p>
      <w:pPr>
        <w:pStyle w:val="11"/>
        <w:keepNext w:val="0"/>
        <w:keepLines w:val="0"/>
        <w:pageBreakBefore w:val="0"/>
        <w:kinsoku/>
        <w:wordWrap/>
        <w:overflowPunct/>
        <w:topLinePunct w:val="0"/>
        <w:autoSpaceDE/>
        <w:autoSpaceDN/>
        <w:bidi w:val="0"/>
        <w:adjustRightInd/>
        <w:snapToGrid/>
        <w:spacing w:before="229" w:line="560" w:lineRule="exact"/>
        <w:ind w:right="54"/>
        <w:textAlignment w:val="auto"/>
        <w:rPr>
          <w:rFonts w:hint="eastAsia" w:ascii="仿宋_GB2312" w:hAnsi="仿宋_GB2312" w:eastAsia="仿宋_GB2312" w:cs="仿宋_GB2312"/>
          <w:spacing w:val="0"/>
          <w:sz w:val="28"/>
          <w:szCs w:val="28"/>
          <w:highlight w:val="none"/>
          <w:lang w:eastAsia="zh-CN"/>
        </w:rPr>
      </w:pPr>
      <w:r>
        <w:rPr>
          <w:rFonts w:hint="eastAsia" w:ascii="仿宋_GB2312" w:hAnsi="仿宋_GB2312" w:eastAsia="仿宋_GB2312" w:cs="仿宋_GB2312"/>
          <w:b/>
          <w:bCs/>
          <w:spacing w:val="0"/>
          <w:sz w:val="28"/>
          <w:szCs w:val="28"/>
          <w:highlight w:val="none"/>
          <w:lang w:eastAsia="zh-CN"/>
        </w:rPr>
        <w:t>附件</w:t>
      </w:r>
      <w:r>
        <w:rPr>
          <w:rFonts w:hint="eastAsia" w:ascii="仿宋_GB2312" w:hAnsi="仿宋_GB2312" w:eastAsia="仿宋_GB2312" w:cs="仿宋_GB2312"/>
          <w:b/>
          <w:bCs/>
          <w:spacing w:val="0"/>
          <w:sz w:val="28"/>
          <w:szCs w:val="28"/>
          <w:highlight w:val="none"/>
          <w:lang w:val="en-US" w:eastAsia="zh-CN"/>
        </w:rPr>
        <w:t>4</w:t>
      </w:r>
      <w:r>
        <w:rPr>
          <w:rFonts w:hint="eastAsia" w:ascii="仿宋_GB2312" w:hAnsi="仿宋_GB2312" w:eastAsia="仿宋_GB2312" w:cs="仿宋_GB2312"/>
          <w:spacing w:val="0"/>
          <w:sz w:val="28"/>
          <w:szCs w:val="28"/>
          <w:highlight w:val="none"/>
          <w:lang w:eastAsia="zh-CN"/>
        </w:rPr>
        <w:t xml:space="preserve"> </w:t>
      </w:r>
    </w:p>
    <w:p>
      <w:pPr>
        <w:pStyle w:val="11"/>
        <w:keepNext w:val="0"/>
        <w:keepLines w:val="0"/>
        <w:pageBreakBefore w:val="0"/>
        <w:kinsoku/>
        <w:wordWrap/>
        <w:overflowPunct/>
        <w:topLinePunct w:val="0"/>
        <w:autoSpaceDE/>
        <w:autoSpaceDN/>
        <w:bidi w:val="0"/>
        <w:adjustRightInd/>
        <w:snapToGrid/>
        <w:spacing w:before="229" w:line="560" w:lineRule="exact"/>
        <w:ind w:right="54" w:firstLine="0"/>
        <w:jc w:val="center"/>
        <w:textAlignment w:val="auto"/>
        <w:rPr>
          <w:rFonts w:hint="eastAsia" w:ascii="仿宋" w:hAnsi="仿宋" w:eastAsia="仿宋" w:cs="仿宋"/>
          <w:spacing w:val="17"/>
          <w:sz w:val="29"/>
          <w:szCs w:val="29"/>
          <w:highlight w:val="none"/>
          <w:lang w:eastAsia="zh-CN"/>
        </w:rPr>
      </w:pPr>
      <w:r>
        <w:rPr>
          <w:rFonts w:hint="eastAsia" w:ascii="方正黑体_GBK" w:hAnsi="方正黑体_GBK" w:eastAsia="方正黑体_GBK" w:cs="方正黑体_GBK"/>
          <w:spacing w:val="17"/>
          <w:sz w:val="32"/>
          <w:szCs w:val="32"/>
          <w:highlight w:val="none"/>
          <w:lang w:eastAsia="zh-CN"/>
        </w:rPr>
        <w:t>苗木质量标准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一、质量要求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1.苗木基本质量要求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（1）植株生长健壮、枝叶繁茂、分枝合理、色泽正常、树皮无机械损伤或者损伤面积小不影响整体观感、无冻害；</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乔木树干无弯曲（特殊要求除外），灌木枝条分布均匀，球形枝条紧凑，冠形圆满、无缺失、偏冠歪斜等现象；地被叶片色泽光亮，植株健壮，同一批次大小应无明显差异；草皮同批次应无色差，规格、密度保持一致，不散卷，草高约2-3厘米；</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（3）苗木分枝点合理，一般第一分枝点离地高度约为植株自然高的 1/3，特殊品种和要求除外。</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（4）苗木应无病虫害，</w:t>
      </w:r>
      <w:r>
        <w:rPr>
          <w:rFonts w:hint="eastAsia" w:ascii="仿宋_GB2312" w:hAnsi="仿宋_GB2312" w:eastAsia="仿宋_GB2312" w:cs="仿宋_GB2312"/>
          <w:color w:val="000000"/>
          <w:kern w:val="2"/>
          <w:sz w:val="28"/>
          <w:szCs w:val="28"/>
          <w:highlight w:val="none"/>
          <w:lang w:val="en-US" w:eastAsia="zh-CN" w:bidi="ar"/>
        </w:rPr>
        <w:t>自外省市及国外引进的植物材料应有植物检疫证</w:t>
      </w:r>
      <w:r>
        <w:rPr>
          <w:rFonts w:hint="eastAsia" w:ascii="仿宋_GB2312" w:hAnsi="仿宋_GB2312" w:eastAsia="仿宋_GB2312" w:cs="仿宋_GB2312"/>
          <w:color w:val="000000"/>
          <w:sz w:val="28"/>
          <w:szCs w:val="28"/>
          <w:highlight w:val="none"/>
          <w:lang w:val="en-US" w:eastAsia="zh-CN"/>
        </w:rPr>
        <w:t>，严禁带有危险性病虫源或杂草的苗木调运。</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2.土球质量要求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（1）乔木土球内根系发达而完整，主根接近根颈一定范围内有较多的侧根和须根，起苗时如有大根裸露，需用锋利的锯子等切断，不得有劈裂。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（2）要求带土球的品种，其土球规格原则上符合“球径约等于胸径的6-8 倍”要求（土球球径以2.4m为上限），裸根品种原则上符合“根群直径约等于胸径的7-11倍”的要求，丛生苗木的土球直径按照地径的7倍计算；灌木或者亚乔木的土球直径按照冠径的1/3计算。部分品种因其品种特性导致土球规格与发包方要求不一致时，承包方须在出货前与发包方采购人员充分沟通，获得发包方采购人员同意后方可按议定的土球规格出货。</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保证足够的土球厚度，土球厚度原则上为土球直径的2/3（浮土层将不计算在内），土球包扎紧实牢固，确保运输到工地后泥头完整，上层以不露根为标准，下层和侧面泥土脱落不得漏出主根和二级侧根，否则视为不合格（特殊品种除外）；草皮土层厚度为1.0-1.5厘米。</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3.起苗、包装及运输要求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苗木起挖须按行业规范进行操作，泥头包好后，必须当天吊出树穴，必须轻吊，轻放，不可拉拖，不得损伤树体和造成土球散落。保证土球完整，主根截面平滑，无劈裂。吊机装车时，轻起轻放，排放紧密，不能过度挤压土球，最大限度保证土球不松动、不散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苗木的树冠均采用全冠幅保护，取树后，应及时进行多次收枝，理顺细小枝叶后收紧分枝，再把整理好的各分支依次收紧后装入车厢。20厘米以上乔木树干必须固定有2组便于吊装的垫块，裹干不可用胶带缠绕，应用草绳或保湿布。如栽植后发现苗木因树皮损伤承包方使用包裹及垫块故意遮挡的，按退货处理并按照该株苗木价款的30%作为违约金在结算款中扣除。</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（3）装车时，泥球部位和撑木处均要求固定，防止运输途中发生摩擦碰撞或意外散落；另外车厢挡板和撑木以及苗木接触到的硬物都要有垫层保护，防止擦伤树皮；装车时排放要有规律，防止踩踏苗木。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苗木在停放及运输过程中，承包方需综合考虑各种因素对苗木的影响，充分做好保鲜、保湿、防风、防晒、抗蒸腾、抗寒等保护措施，如遇恶劣气候或突发情况，如高温、暴雨、交通意外等，承包方应采取降温、防雨等保全措施，确保货到发包方指定的地点后无损坏，符合发包方对苗木的相关质量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5）在苗木起挖或运输过程中，承包方不得私自对苗木进行裁剪，如因装车和运输需要确需对苗木进行裁剪时，承包方必须先与发包方进行充分沟通，经得发包方的许可后，严格按照发包方的要求进行适当裁剪。</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（6）苗木从起挖到运抵现场的时间不能超过48小时，起挖及装车时必须同步向发包方对接业务人员提供视频或带水印时间的照片。若承包方未能按时按要求提供，发包方有权拒绝验收。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4.关于苗木的质量标准，本合同未有约定的按国家行业标准执行。</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5.双方对苗木质量存在争议的，应协商解决；协商不成的，可委托双方共同认可的具有资质的第三方检测机构进行鉴定，鉴定费用由责任方承担。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6.按国家相关政策规定办理好苗木检疫及苗木运输等有关手续。</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二、苗木验收与异议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1.苗木到场后，双方应在合理期限内完成验收。一般验收期限不超过72小时；如遇特殊情况，经双方协商可适当延长。对于隐蔽瑕疵，承包人在养护期内仍应承担责任。</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现场验收人员根据《采购订单》信息、到场苗木实际情况及送货单三者结合进行验收，到场苗木实际情况须与《采购订单》信息、送货单一致的。验收指标包括但不限于对货物品种、规格、质量、包装等评价指标。</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乔灌木逐株检测，苗木规格、质量能够满足上述质量要求。地被类、时花、草皮等采取随机抽样检测，抽检比例不低于10%，质量检验误差范围不大于2%，数量检验误差范围不大于2%，验收合格。否则判定为该批苗木质量不合格。</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4.苗木交付后，如果施工方苗木存在潜在的病虫害问题，由此导致损失须无条件更换，并承担造成的经济损失。</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5.承包方苗木供货出现质量问题的，发包方有权立即停止向承包方支付一切款项，并可通过口头、书面等形式通知承包方进行处理，承包方必须在收到发包方通知之日起48小时内按照发包方要求予以退货、更换，并承担由此引起的工期延误和人工消耗等全部经济损失（包括但不限于违约金、赔偿金、律师费、诉讼费、财产保全费、执行费、差旅费、食宿费等发包方实现债权的一切费用），发包方保留向承包方追偿的权利，且不免除承包方依据合同规定应承担的其他违约责任。</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三、若承包方没有按照上述质量要求操作而造成的全部经济损失均由承包方承担，产生的相关费用亦由承包方承担。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四、若承包方所供货物发生质量问题或责任事故，致使发包方遭受第三方索赔，由承包方承担赔偿责任及发包方的全部经济损失。</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pPr>
        <w:keepNext w:val="0"/>
        <w:keepLines w:val="0"/>
        <w:pageBreakBefore w:val="0"/>
        <w:widowControl w:val="0"/>
        <w:kinsoku/>
        <w:wordWrap/>
        <w:overflowPunct/>
        <w:topLinePunct w:val="0"/>
        <w:autoSpaceDE/>
        <w:autoSpaceDN/>
        <w:bidi w:val="0"/>
        <w:adjustRightInd/>
        <w:snapToGrid/>
        <w:spacing w:before="94" w:line="560" w:lineRule="exact"/>
        <w:textAlignment w:val="auto"/>
        <w:outlineLvl w:val="0"/>
        <w:rPr>
          <w:rFonts w:hint="eastAsia" w:ascii="仿宋_GB2312" w:hAnsi="仿宋_GB2312" w:eastAsia="仿宋_GB2312" w:cs="仿宋_GB2312"/>
          <w:spacing w:val="0"/>
          <w:sz w:val="28"/>
          <w:szCs w:val="28"/>
          <w:highlight w:val="none"/>
          <w:lang w:eastAsia="zh-CN"/>
        </w:rPr>
      </w:pPr>
      <w:r>
        <w:rPr>
          <w:rFonts w:hint="eastAsia" w:ascii="仿宋_GB2312" w:hAnsi="仿宋_GB2312" w:eastAsia="仿宋_GB2312" w:cs="仿宋_GB2312"/>
          <w:b/>
          <w:bCs/>
          <w:spacing w:val="0"/>
          <w:sz w:val="28"/>
          <w:szCs w:val="28"/>
          <w:highlight w:val="none"/>
          <w:lang w:eastAsia="zh-CN"/>
        </w:rPr>
        <w:t>附件</w:t>
      </w:r>
      <w:r>
        <w:rPr>
          <w:rFonts w:hint="eastAsia" w:ascii="仿宋_GB2312" w:hAnsi="仿宋_GB2312" w:eastAsia="仿宋_GB2312" w:cs="仿宋_GB2312"/>
          <w:b/>
          <w:bCs/>
          <w:spacing w:val="0"/>
          <w:sz w:val="28"/>
          <w:szCs w:val="28"/>
          <w:highlight w:val="none"/>
          <w:lang w:val="en-US" w:eastAsia="zh-CN"/>
        </w:rPr>
        <w:t>5</w:t>
      </w:r>
    </w:p>
    <w:p>
      <w:pPr>
        <w:keepNext w:val="0"/>
        <w:keepLines w:val="0"/>
        <w:pageBreakBefore w:val="0"/>
        <w:widowControl w:val="0"/>
        <w:kinsoku/>
        <w:wordWrap/>
        <w:overflowPunct/>
        <w:topLinePunct w:val="0"/>
        <w:autoSpaceDE/>
        <w:autoSpaceDN/>
        <w:bidi w:val="0"/>
        <w:adjustRightInd/>
        <w:snapToGrid/>
        <w:spacing w:before="271" w:line="560" w:lineRule="exact"/>
        <w:ind w:left="0"/>
        <w:jc w:val="center"/>
        <w:textAlignment w:val="auto"/>
        <w:outlineLvl w:val="0"/>
        <w:rPr>
          <w:rFonts w:hint="eastAsia" w:ascii="方正黑体_GBK" w:hAnsi="方正黑体_GBK" w:eastAsia="方正黑体_GBK" w:cs="方正黑体_GBK"/>
          <w:b w:val="0"/>
          <w:bCs w:val="0"/>
          <w:sz w:val="32"/>
          <w:szCs w:val="32"/>
          <w:highlight w:val="none"/>
          <w:lang w:eastAsia="zh-CN"/>
        </w:rPr>
      </w:pPr>
      <w:r>
        <w:rPr>
          <w:rFonts w:hint="eastAsia" w:ascii="方正黑体_GBK" w:hAnsi="方正黑体_GBK" w:eastAsia="方正黑体_GBK" w:cs="方正黑体_GBK"/>
          <w:b w:val="0"/>
          <w:bCs w:val="0"/>
          <w:spacing w:val="8"/>
          <w:sz w:val="32"/>
          <w:szCs w:val="32"/>
          <w:highlight w:val="none"/>
          <w:lang w:eastAsia="zh-CN"/>
        </w:rPr>
        <w:t>工程质量保修书</w:t>
      </w:r>
    </w:p>
    <w:p>
      <w:pPr>
        <w:keepNext w:val="0"/>
        <w:keepLines w:val="0"/>
        <w:pageBreakBefore w:val="0"/>
        <w:widowControl w:val="0"/>
        <w:kinsoku/>
        <w:wordWrap/>
        <w:overflowPunct/>
        <w:topLinePunct w:val="0"/>
        <w:autoSpaceDE/>
        <w:autoSpaceDN/>
        <w:bidi w:val="0"/>
        <w:adjustRightInd/>
        <w:snapToGrid/>
        <w:spacing w:line="560" w:lineRule="exact"/>
        <w:textAlignment w:val="auto"/>
        <w:rPr>
          <w:highlight w:val="none"/>
          <w:lang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发包人和承包人根据《中华人民共和国建筑法》《建设工程质量管理条例》和《园林绿化工程施工及验收规范》（CJJ82-2012）以及</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（地方标准），经协商一致就</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 （工程名称）签订工程质量保修书。</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left"/>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一、工程质量保修范围和内容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承包人在质量保修期内，按照有关法律规定和合同约定，承担工程质量保修责任。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FFFFFF"/>
          <w:sz w:val="28"/>
          <w:szCs w:val="28"/>
          <w:highlight w:val="none"/>
          <w:u w:val="single"/>
          <w:lang w:val="en-US" w:eastAsia="zh-CN"/>
        </w:rPr>
      </w:pPr>
      <w:r>
        <w:rPr>
          <w:rFonts w:hint="eastAsia" w:ascii="仿宋_GB2312" w:hAnsi="仿宋_GB2312" w:eastAsia="仿宋_GB2312" w:cs="仿宋_GB2312"/>
          <w:color w:val="000000"/>
          <w:sz w:val="28"/>
          <w:szCs w:val="28"/>
          <w:highlight w:val="none"/>
          <w:lang w:val="en-US" w:eastAsia="zh-CN"/>
        </w:rPr>
        <w:t>质量保修范围包括地基基础工程、主体结构工程，屋面防水工程、有防水要求的卫生间、房间和外墙面的防渗漏，供热与供冷系统，电气管线、给排水管道、设备安装、装修工程，绿化工程、园林附属工程（园路与广场铺装、假山、叠石、置石、园林 理水、园林设施安装），以及双方约定的其他项目。具体保修的内容，双方约定如下：</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FFFFFF"/>
          <w:sz w:val="28"/>
          <w:szCs w:val="28"/>
          <w:highlight w:val="none"/>
          <w:u w:val="singl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FFFFFF"/>
          <w:sz w:val="28"/>
          <w:szCs w:val="28"/>
          <w:highlight w:val="none"/>
          <w:u w:val="single"/>
          <w:lang w:val="en-US" w:eastAsia="zh-CN"/>
        </w:rPr>
        <w:t>。</w:t>
      </w: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left"/>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二、质量保修期</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工程的质量保修期如下：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1.乔木为</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2.地被植物、草坪及灌木为</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个月。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bidi="ar"/>
        </w:rPr>
        <w:t>3.园建和园林设施</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年（该缺陷责任期最长不超过2年）。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4.地基基础工程和主体结构工程为设计文件规定的工程合理使用年限。</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93" w:leftChars="133" w:right="0" w:rightChars="0" w:firstLine="280" w:firstLineChars="1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5.屋面防水工程、有防水要求的卫生间、房间和外墙面的防渗为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年；其他防水工程</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6.装修工程为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7.电气管线、给排水管道、设备安装工程为</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8.供热与供冷系统为</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个采暖期、供冷期。</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9.其他园林附属工程为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个月。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lang w:val="en-US" w:eastAsia="zh-CN"/>
        </w:rPr>
        <w:t>10.其他项目保修期限约定如下：</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FFFFFF"/>
          <w:sz w:val="28"/>
          <w:szCs w:val="28"/>
          <w:highlight w:val="none"/>
          <w:u w:val="singl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质量保修期自工程竣工验收合格之日起计算。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三、缺陷责任期</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缺陷责任期与质量保修期期限一致，</w:t>
      </w:r>
      <w:r>
        <w:rPr>
          <w:rFonts w:hint="eastAsia" w:ascii="仿宋_GB2312" w:hAnsi="仿宋_GB2312" w:eastAsia="仿宋_GB2312" w:cs="仿宋_GB2312"/>
          <w:color w:val="000000"/>
          <w:kern w:val="0"/>
          <w:sz w:val="28"/>
          <w:szCs w:val="28"/>
          <w:highlight w:val="none"/>
          <w:lang w:val="en-US" w:eastAsia="zh-CN" w:bidi="ar"/>
        </w:rPr>
        <w:t>地被植物、草坪及灌木为</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个月，乔木为</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年，园建和园林设施</w:t>
      </w:r>
      <w:r>
        <w:rPr>
          <w:rFonts w:hint="eastAsia" w:ascii="仿宋_GB2312" w:hAnsi="仿宋_GB2312" w:eastAsia="仿宋_GB2312" w:cs="仿宋_GB2312"/>
          <w:color w:val="000000"/>
          <w:kern w:val="0"/>
          <w:sz w:val="28"/>
          <w:szCs w:val="28"/>
          <w:highlight w:val="none"/>
          <w:u w:val="single"/>
          <w:lang w:val="en-US" w:eastAsia="zh-CN" w:bidi="ar"/>
        </w:rPr>
        <w:t xml:space="preserve">   </w:t>
      </w:r>
      <w:r>
        <w:rPr>
          <w:rFonts w:hint="eastAsia" w:ascii="仿宋_GB2312" w:hAnsi="仿宋_GB2312" w:eastAsia="仿宋_GB2312" w:cs="仿宋_GB2312"/>
          <w:color w:val="000000"/>
          <w:kern w:val="0"/>
          <w:sz w:val="28"/>
          <w:szCs w:val="28"/>
          <w:highlight w:val="none"/>
          <w:lang w:val="en-US" w:eastAsia="zh-CN" w:bidi="ar"/>
        </w:rPr>
        <w:t>年</w:t>
      </w:r>
      <w:r>
        <w:rPr>
          <w:rFonts w:hint="eastAsia" w:ascii="仿宋_GB2312" w:hAnsi="仿宋_GB2312" w:eastAsia="仿宋_GB2312" w:cs="仿宋_GB2312"/>
          <w:color w:val="000000"/>
          <w:sz w:val="28"/>
          <w:szCs w:val="28"/>
          <w:highlight w:val="none"/>
          <w:lang w:val="en-US" w:eastAsia="zh-CN"/>
        </w:rPr>
        <w:t>，缺陷责任期自工程竣工验收合格之日起计算。单位工程先于全部工程进行验收，单位工程缺陷责任期自单位工程验收合格之日起算。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缺陷责任期终止后，发包人应退还剩余的质量保证金。</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四、质量保修责任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1.属于保修范围、内容的项目，承包人应当在接到保修通知之日起7天内派人保修。承包人不在约定期限内派人保修的，发包人可以委托他人修理，费用由承包人承担，从质量保证金中扣除。</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2.发生紧急事故需抢修的，承包人在接到事故通知后，应当立即到达事故现场抢修。</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对于涉及结构安全的质量问题，应当按照《建设工程质量管理条例》的规定，立即向当地住房和城乡建设行政主管部门及有关部门报告，采取安全防范措施，并由原设计人或者具有相应资质等级的设计人提出保修方案，承包人实施保修。</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4.在工程质量保修期内，未能在合理期限内对工程质量问题进行修复，或拒绝按要求进行修复的，承包人应向发包人支付修复工程支出的实际金额。</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5.质量保修完成后，由发包人组织验收。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2"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 xml:space="preserve">五、双方约定的其他工程质量保修项   </w:t>
      </w: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工程质量保修书由发包人、承包人在工程竣工验收前共同签署，作为施工合同附件，有效期限至保修期满。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发包人：（公章）                  承包人：（公章）</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法定代表人或其委托代理人：        法定代表人或其委托代理人：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（签字）</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          （签字）</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统一社会信用代码证号：            统一社会信用代码证号：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none"/>
          <w:lang w:val="en-US" w:eastAsia="zh-CN"/>
        </w:rPr>
        <w:t xml:space="preserve">          </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地    址：                         地    址：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邮政编码：                         邮政编码：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电    话：                         电    话：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传    真：                         传    真：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开户银行：                         开户银行：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账    号：                         账    号：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日    期：  年   月  日            日    期：  年   月  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560" w:firstLineChars="200"/>
        <w:jc w:val="left"/>
        <w:textAlignment w:val="auto"/>
        <w:rPr>
          <w:rFonts w:hint="eastAsia" w:ascii="仿宋_GB2312" w:hAnsi="仿宋_GB2312" w:eastAsia="仿宋_GB2312" w:cs="仿宋_GB2312"/>
          <w:color w:val="000000"/>
          <w:sz w:val="28"/>
          <w:szCs w:val="28"/>
          <w:highlight w:val="none"/>
          <w:lang w:val="en-US" w:eastAsia="zh-CN"/>
        </w:rPr>
      </w:pPr>
    </w:p>
    <w:p>
      <w:pPr>
        <w:pStyle w:val="24"/>
        <w:ind w:firstLine="0" w:firstLineChars="0"/>
        <w:rPr>
          <w:highlight w:val="none"/>
        </w:rPr>
      </w:pPr>
    </w:p>
    <w:p>
      <w:pPr>
        <w:spacing w:before="38"/>
        <w:ind w:left="2446"/>
        <w:rPr>
          <w:b/>
          <w:sz w:val="44"/>
          <w:highlight w:val="none"/>
        </w:rPr>
      </w:pPr>
    </w:p>
    <w:p>
      <w:pPr>
        <w:pStyle w:val="24"/>
        <w:ind w:firstLine="890"/>
        <w:rPr>
          <w:b/>
          <w:sz w:val="44"/>
          <w:highlight w:val="none"/>
        </w:rPr>
      </w:pPr>
    </w:p>
    <w:p>
      <w:pPr>
        <w:pStyle w:val="24"/>
        <w:ind w:firstLine="890"/>
        <w:rPr>
          <w:b/>
          <w:sz w:val="44"/>
          <w:highlight w:val="none"/>
        </w:rPr>
      </w:pPr>
    </w:p>
    <w:p>
      <w:pPr>
        <w:pStyle w:val="24"/>
        <w:ind w:firstLine="890"/>
        <w:rPr>
          <w:b/>
          <w:sz w:val="44"/>
          <w:highlight w:val="none"/>
        </w:rPr>
      </w:pPr>
    </w:p>
    <w:p>
      <w:pPr>
        <w:pStyle w:val="24"/>
        <w:ind w:firstLine="890"/>
        <w:rPr>
          <w:b/>
          <w:sz w:val="44"/>
          <w:highlight w:val="none"/>
        </w:rPr>
      </w:pPr>
    </w:p>
    <w:p>
      <w:pPr>
        <w:pStyle w:val="24"/>
        <w:ind w:firstLine="890"/>
        <w:rPr>
          <w:b/>
          <w:sz w:val="44"/>
          <w:highlight w:val="none"/>
        </w:rPr>
      </w:pPr>
    </w:p>
    <w:p>
      <w:pPr>
        <w:spacing w:before="38"/>
        <w:ind w:left="2446"/>
        <w:outlineLvl w:val="0"/>
        <w:rPr>
          <w:b/>
          <w:sz w:val="44"/>
          <w:highlight w:val="none"/>
        </w:rPr>
      </w:pPr>
      <w:bookmarkStart w:id="475" w:name="_Toc7805"/>
      <w:bookmarkStart w:id="476" w:name="_Toc27045"/>
      <w:r>
        <w:rPr>
          <w:rFonts w:hint="eastAsia"/>
          <w:b/>
          <w:sz w:val="44"/>
          <w:highlight w:val="none"/>
        </w:rPr>
        <w:t>第五部分 响应文件格式</w:t>
      </w:r>
      <w:bookmarkEnd w:id="45"/>
      <w:bookmarkEnd w:id="475"/>
      <w:bookmarkEnd w:id="476"/>
    </w:p>
    <w:p>
      <w:pPr>
        <w:spacing w:before="214"/>
        <w:ind w:left="159"/>
        <w:jc w:val="center"/>
        <w:rPr>
          <w:b/>
          <w:sz w:val="32"/>
          <w:highlight w:val="none"/>
        </w:rPr>
        <w:sectPr>
          <w:headerReference r:id="rId11" w:type="default"/>
          <w:footerReference r:id="rId12" w:type="default"/>
          <w:pgSz w:w="11910" w:h="16840"/>
          <w:pgMar w:top="1440" w:right="1080" w:bottom="1440" w:left="1080" w:header="0" w:footer="995" w:gutter="0"/>
          <w:cols w:space="720" w:num="1"/>
        </w:sectPr>
      </w:pPr>
    </w:p>
    <w:p>
      <w:pPr>
        <w:spacing w:before="186"/>
        <w:rPr>
          <w:b/>
          <w:sz w:val="28"/>
          <w:highlight w:val="none"/>
        </w:rPr>
      </w:pPr>
    </w:p>
    <w:p>
      <w:pPr>
        <w:spacing w:before="4"/>
        <w:ind w:left="521" w:right="255"/>
        <w:jc w:val="center"/>
        <w:rPr>
          <w:b/>
          <w:w w:val="110"/>
          <w:sz w:val="48"/>
          <w:highlight w:val="none"/>
        </w:rPr>
      </w:pPr>
    </w:p>
    <w:p>
      <w:pPr>
        <w:spacing w:before="4"/>
        <w:ind w:left="521" w:right="255"/>
        <w:jc w:val="center"/>
        <w:rPr>
          <w:b/>
          <w:w w:val="109"/>
          <w:sz w:val="48"/>
          <w:highlight w:val="none"/>
        </w:rPr>
      </w:pPr>
    </w:p>
    <w:p>
      <w:pPr>
        <w:spacing w:before="4"/>
        <w:ind w:right="255"/>
        <w:jc w:val="center"/>
        <w:rPr>
          <w:b/>
          <w:w w:val="109"/>
          <w:sz w:val="48"/>
          <w:highlight w:val="none"/>
          <w:lang w:eastAsia="zh-CN"/>
        </w:rPr>
      </w:pPr>
    </w:p>
    <w:p>
      <w:pPr>
        <w:spacing w:before="4"/>
        <w:ind w:right="255"/>
        <w:jc w:val="center"/>
        <w:rPr>
          <w:b/>
          <w:sz w:val="48"/>
          <w:highlight w:val="none"/>
        </w:rPr>
      </w:pPr>
      <w:r>
        <w:rPr>
          <w:rFonts w:hint="eastAsia"/>
          <w:b/>
          <w:w w:val="109"/>
          <w:sz w:val="48"/>
          <w:highlight w:val="none"/>
          <w:lang w:eastAsia="zh-CN"/>
        </w:rPr>
        <w:t>江门市民主法治公园建设项目</w:t>
      </w:r>
    </w:p>
    <w:p>
      <w:pPr>
        <w:spacing w:before="9"/>
        <w:ind w:left="239"/>
        <w:jc w:val="center"/>
        <w:rPr>
          <w:b/>
          <w:sz w:val="48"/>
          <w:highlight w:val="none"/>
        </w:rPr>
      </w:pPr>
    </w:p>
    <w:p>
      <w:pPr>
        <w:spacing w:before="9"/>
        <w:ind w:left="521" w:right="255"/>
        <w:jc w:val="center"/>
        <w:rPr>
          <w:b/>
          <w:w w:val="110"/>
          <w:sz w:val="48"/>
          <w:highlight w:val="none"/>
        </w:rPr>
      </w:pPr>
    </w:p>
    <w:p>
      <w:pPr>
        <w:spacing w:before="9"/>
        <w:ind w:left="521" w:right="255"/>
        <w:jc w:val="center"/>
        <w:rPr>
          <w:b/>
          <w:w w:val="110"/>
          <w:sz w:val="48"/>
          <w:highlight w:val="none"/>
        </w:rPr>
      </w:pPr>
    </w:p>
    <w:p>
      <w:pPr>
        <w:spacing w:before="9"/>
        <w:ind w:left="521" w:right="255"/>
        <w:jc w:val="center"/>
        <w:rPr>
          <w:b/>
          <w:sz w:val="48"/>
          <w:highlight w:val="none"/>
        </w:rPr>
      </w:pPr>
      <w:r>
        <w:rPr>
          <w:rFonts w:hint="eastAsia"/>
          <w:b/>
          <w:w w:val="110"/>
          <w:sz w:val="48"/>
          <w:highlight w:val="none"/>
        </w:rPr>
        <w:t>响 应 文 件</w:t>
      </w:r>
    </w:p>
    <w:p>
      <w:pPr>
        <w:spacing w:before="9"/>
        <w:ind w:left="521" w:right="282"/>
        <w:jc w:val="center"/>
        <w:rPr>
          <w:b/>
          <w:sz w:val="48"/>
          <w:highlight w:val="none"/>
        </w:rPr>
      </w:pPr>
      <w:r>
        <w:rPr>
          <w:rFonts w:hint="eastAsia"/>
          <w:b/>
          <w:sz w:val="48"/>
          <w:highlight w:val="none"/>
        </w:rPr>
        <w:t>（正本/副本）</w:t>
      </w:r>
    </w:p>
    <w:p>
      <w:pPr>
        <w:spacing w:before="139"/>
        <w:ind w:left="139"/>
        <w:jc w:val="center"/>
        <w:rPr>
          <w:b/>
          <w:sz w:val="28"/>
          <w:highlight w:val="none"/>
        </w:rPr>
      </w:pPr>
    </w:p>
    <w:p>
      <w:pPr>
        <w:pStyle w:val="11"/>
        <w:rPr>
          <w:b/>
          <w:sz w:val="20"/>
          <w:highlight w:val="none"/>
        </w:rPr>
      </w:pPr>
    </w:p>
    <w:p>
      <w:pPr>
        <w:pStyle w:val="11"/>
        <w:rPr>
          <w:b/>
          <w:sz w:val="20"/>
          <w:highlight w:val="none"/>
        </w:rPr>
      </w:pPr>
    </w:p>
    <w:p>
      <w:pPr>
        <w:pStyle w:val="11"/>
        <w:rPr>
          <w:b/>
          <w:sz w:val="20"/>
          <w:highlight w:val="none"/>
        </w:rPr>
      </w:pPr>
    </w:p>
    <w:p>
      <w:pPr>
        <w:pStyle w:val="11"/>
        <w:spacing w:before="9"/>
        <w:rPr>
          <w:b/>
          <w:highlight w:val="none"/>
        </w:rPr>
      </w:pPr>
    </w:p>
    <w:p>
      <w:pPr>
        <w:spacing w:before="61"/>
        <w:ind w:left="1447" w:firstLine="281" w:firstLineChars="100"/>
        <w:jc w:val="both"/>
        <w:outlineLvl w:val="0"/>
        <w:rPr>
          <w:b/>
          <w:sz w:val="28"/>
          <w:highlight w:val="none"/>
        </w:rPr>
      </w:pPr>
      <w:bookmarkStart w:id="477" w:name="_Toc19181"/>
      <w:bookmarkStart w:id="478" w:name="_Toc6164"/>
      <w:r>
        <w:rPr>
          <w:rFonts w:hint="eastAsia"/>
          <w:b/>
          <w:sz w:val="28"/>
          <w:highlight w:val="none"/>
        </w:rPr>
        <w:t>项目编号</w:t>
      </w:r>
      <w:r>
        <w:rPr>
          <w:rFonts w:hint="eastAsia"/>
          <w:b/>
          <w:w w:val="99"/>
          <w:sz w:val="28"/>
          <w:highlight w:val="none"/>
        </w:rPr>
        <w:t>：</w:t>
      </w:r>
      <w:bookmarkEnd w:id="477"/>
      <w:bookmarkEnd w:id="478"/>
    </w:p>
    <w:p>
      <w:pPr>
        <w:pStyle w:val="11"/>
        <w:spacing w:before="12"/>
        <w:rPr>
          <w:b/>
          <w:sz w:val="15"/>
          <w:highlight w:val="none"/>
        </w:rPr>
      </w:pPr>
    </w:p>
    <w:p>
      <w:pPr>
        <w:pStyle w:val="11"/>
        <w:rPr>
          <w:b/>
          <w:sz w:val="20"/>
          <w:highlight w:val="none"/>
        </w:rPr>
      </w:pPr>
    </w:p>
    <w:p>
      <w:pPr>
        <w:pStyle w:val="11"/>
        <w:rPr>
          <w:b/>
          <w:sz w:val="20"/>
          <w:highlight w:val="none"/>
        </w:rPr>
      </w:pPr>
    </w:p>
    <w:p>
      <w:pPr>
        <w:pStyle w:val="11"/>
        <w:rPr>
          <w:b/>
          <w:sz w:val="20"/>
          <w:highlight w:val="none"/>
        </w:rPr>
      </w:pPr>
    </w:p>
    <w:p>
      <w:pPr>
        <w:pStyle w:val="11"/>
        <w:rPr>
          <w:b/>
          <w:sz w:val="20"/>
          <w:highlight w:val="none"/>
        </w:rPr>
      </w:pPr>
    </w:p>
    <w:p>
      <w:pPr>
        <w:pStyle w:val="11"/>
        <w:rPr>
          <w:b/>
          <w:sz w:val="20"/>
          <w:highlight w:val="none"/>
        </w:rPr>
      </w:pPr>
    </w:p>
    <w:p>
      <w:pPr>
        <w:pStyle w:val="11"/>
        <w:rPr>
          <w:b/>
          <w:sz w:val="23"/>
          <w:highlight w:val="none"/>
        </w:rPr>
      </w:pPr>
    </w:p>
    <w:p>
      <w:pPr>
        <w:spacing w:before="62"/>
        <w:ind w:firstLine="1686" w:firstLineChars="600"/>
        <w:outlineLvl w:val="0"/>
        <w:rPr>
          <w:b/>
          <w:w w:val="99"/>
          <w:sz w:val="28"/>
          <w:highlight w:val="none"/>
          <w:u w:val="single"/>
        </w:rPr>
      </w:pPr>
      <w:bookmarkStart w:id="479" w:name="_Toc13386"/>
      <w:bookmarkStart w:id="480" w:name="_Toc30666"/>
      <w:r>
        <w:rPr>
          <w:rFonts w:hint="eastAsia"/>
          <w:b/>
          <w:sz w:val="28"/>
          <w:highlight w:val="none"/>
        </w:rPr>
        <w:t>供应商名称：</w:t>
      </w:r>
      <w:bookmarkEnd w:id="479"/>
      <w:bookmarkEnd w:id="480"/>
    </w:p>
    <w:p>
      <w:pPr>
        <w:spacing w:before="62"/>
        <w:ind w:firstLine="1668" w:firstLineChars="600"/>
        <w:outlineLvl w:val="0"/>
        <w:rPr>
          <w:b/>
          <w:w w:val="99"/>
          <w:sz w:val="28"/>
          <w:highlight w:val="none"/>
          <w:u w:val="single"/>
          <w:lang w:val="en-US" w:eastAsia="zh-CN"/>
        </w:rPr>
      </w:pPr>
      <w:bookmarkStart w:id="481" w:name="_Toc32103"/>
      <w:bookmarkStart w:id="482" w:name="_Toc1908"/>
      <w:r>
        <w:rPr>
          <w:rFonts w:hint="eastAsia"/>
          <w:b/>
          <w:w w:val="99"/>
          <w:sz w:val="28"/>
          <w:highlight w:val="none"/>
          <w:lang w:eastAsia="zh-CN"/>
        </w:rPr>
        <w:t>供应商地址：</w:t>
      </w:r>
      <w:bookmarkEnd w:id="481"/>
      <w:bookmarkEnd w:id="482"/>
    </w:p>
    <w:p>
      <w:pPr>
        <w:spacing w:before="62"/>
        <w:ind w:firstLine="1668" w:firstLineChars="600"/>
        <w:outlineLvl w:val="0"/>
        <w:rPr>
          <w:b/>
          <w:sz w:val="28"/>
          <w:highlight w:val="none"/>
        </w:rPr>
      </w:pPr>
      <w:bookmarkStart w:id="483" w:name="_Toc30404"/>
      <w:bookmarkStart w:id="484" w:name="_Toc21218"/>
      <w:r>
        <w:rPr>
          <w:rFonts w:hint="eastAsia"/>
          <w:b/>
          <w:w w:val="99"/>
          <w:sz w:val="28"/>
          <w:highlight w:val="none"/>
        </w:rPr>
        <w:t>供应商法定代表人（或法定代表人授权代表）签字</w:t>
      </w:r>
      <w:r>
        <w:rPr>
          <w:rFonts w:hint="eastAsia"/>
          <w:b/>
          <w:w w:val="99"/>
          <w:sz w:val="28"/>
          <w:highlight w:val="none"/>
          <w:lang w:eastAsia="zh-CN"/>
        </w:rPr>
        <w:t>或盖章</w:t>
      </w:r>
      <w:r>
        <w:rPr>
          <w:rFonts w:hint="eastAsia"/>
          <w:b/>
          <w:w w:val="99"/>
          <w:sz w:val="28"/>
          <w:highlight w:val="none"/>
        </w:rPr>
        <w:t>：</w:t>
      </w:r>
      <w:bookmarkEnd w:id="483"/>
      <w:bookmarkEnd w:id="484"/>
    </w:p>
    <w:p>
      <w:pPr>
        <w:pStyle w:val="11"/>
        <w:spacing w:before="12"/>
        <w:rPr>
          <w:b/>
          <w:sz w:val="15"/>
          <w:highlight w:val="none"/>
        </w:rPr>
      </w:pPr>
    </w:p>
    <w:p>
      <w:pPr>
        <w:spacing w:before="61"/>
        <w:ind w:firstLine="1686" w:firstLineChars="600"/>
        <w:outlineLvl w:val="0"/>
        <w:rPr>
          <w:b/>
          <w:sz w:val="28"/>
          <w:highlight w:val="none"/>
        </w:rPr>
      </w:pPr>
      <w:bookmarkStart w:id="485" w:name="_Toc16048"/>
      <w:bookmarkStart w:id="486" w:name="_Toc3543"/>
      <w:r>
        <w:rPr>
          <w:rFonts w:hint="eastAsia"/>
          <w:b/>
          <w:sz w:val="28"/>
          <w:highlight w:val="none"/>
        </w:rPr>
        <w:t>日 期 ：</w:t>
      </w:r>
      <w:r>
        <w:rPr>
          <w:rFonts w:hint="eastAsia"/>
          <w:b/>
          <w:sz w:val="28"/>
          <w:highlight w:val="none"/>
          <w:lang w:val="en-US" w:eastAsia="zh-CN"/>
        </w:rPr>
        <w:t xml:space="preserve">  </w:t>
      </w:r>
      <w:r>
        <w:rPr>
          <w:rFonts w:hint="eastAsia"/>
          <w:b/>
          <w:sz w:val="28"/>
          <w:highlight w:val="none"/>
        </w:rPr>
        <w:t>年</w:t>
      </w:r>
      <w:r>
        <w:rPr>
          <w:rFonts w:hint="eastAsia"/>
          <w:b/>
          <w:sz w:val="28"/>
          <w:highlight w:val="none"/>
          <w:lang w:val="en-US" w:eastAsia="zh-CN"/>
        </w:rPr>
        <w:t xml:space="preserve">  </w:t>
      </w:r>
      <w:r>
        <w:rPr>
          <w:rFonts w:hint="eastAsia"/>
          <w:b/>
          <w:spacing w:val="-3"/>
          <w:sz w:val="28"/>
          <w:highlight w:val="none"/>
        </w:rPr>
        <w:t>月</w:t>
      </w:r>
      <w:r>
        <w:rPr>
          <w:rFonts w:hint="eastAsia"/>
          <w:b/>
          <w:spacing w:val="-3"/>
          <w:sz w:val="28"/>
          <w:highlight w:val="none"/>
          <w:lang w:val="en-US" w:eastAsia="zh-CN"/>
        </w:rPr>
        <w:t xml:space="preserve">  </w:t>
      </w:r>
      <w:r>
        <w:rPr>
          <w:rFonts w:hint="eastAsia"/>
          <w:b/>
          <w:sz w:val="28"/>
          <w:highlight w:val="none"/>
        </w:rPr>
        <w:t>日</w:t>
      </w:r>
      <w:bookmarkEnd w:id="485"/>
      <w:bookmarkEnd w:id="486"/>
    </w:p>
    <w:p>
      <w:pPr>
        <w:rPr>
          <w:sz w:val="28"/>
          <w:highlight w:val="none"/>
        </w:rPr>
      </w:pPr>
    </w:p>
    <w:p>
      <w:pPr>
        <w:pStyle w:val="24"/>
        <w:ind w:firstLine="584"/>
        <w:rPr>
          <w:rFonts w:ascii="宋体" w:eastAsia="宋体"/>
          <w:sz w:val="28"/>
          <w:highlight w:val="none"/>
        </w:rPr>
      </w:pPr>
    </w:p>
    <w:p>
      <w:pPr>
        <w:pStyle w:val="24"/>
        <w:ind w:firstLine="584"/>
        <w:rPr>
          <w:rFonts w:ascii="宋体" w:eastAsia="宋体"/>
          <w:sz w:val="28"/>
          <w:highlight w:val="none"/>
        </w:rPr>
      </w:pPr>
    </w:p>
    <w:p>
      <w:pPr>
        <w:pStyle w:val="24"/>
        <w:ind w:firstLine="584"/>
        <w:rPr>
          <w:rFonts w:ascii="宋体" w:eastAsia="宋体"/>
          <w:sz w:val="28"/>
          <w:highlight w:val="none"/>
        </w:rPr>
        <w:sectPr>
          <w:pgSz w:w="11910" w:h="16840"/>
          <w:pgMar w:top="1440" w:right="1080" w:bottom="1440" w:left="1080" w:header="0" w:footer="995" w:gutter="0"/>
          <w:cols w:space="720" w:num="1"/>
        </w:sectPr>
      </w:pPr>
    </w:p>
    <w:p>
      <w:pPr>
        <w:pStyle w:val="24"/>
        <w:ind w:firstLine="584"/>
        <w:rPr>
          <w:rFonts w:ascii="宋体" w:eastAsia="宋体"/>
          <w:sz w:val="28"/>
          <w:highlight w:val="none"/>
        </w:rPr>
      </w:pPr>
    </w:p>
    <w:p>
      <w:pPr>
        <w:spacing w:before="132"/>
        <w:ind w:left="480"/>
        <w:jc w:val="center"/>
        <w:rPr>
          <w:sz w:val="21"/>
          <w:highlight w:val="none"/>
        </w:rPr>
      </w:pPr>
      <w:r>
        <w:rPr>
          <w:rFonts w:hint="eastAsia"/>
          <w:b/>
          <w:sz w:val="32"/>
          <w:highlight w:val="none"/>
          <w:lang w:eastAsia="zh-CN"/>
        </w:rPr>
        <w:t>目录</w:t>
      </w:r>
    </w:p>
    <w:p>
      <w:pPr>
        <w:pStyle w:val="11"/>
        <w:spacing w:before="161" w:line="364" w:lineRule="auto"/>
        <w:ind w:left="480" w:right="359"/>
        <w:rPr>
          <w:highlight w:val="none"/>
        </w:rPr>
      </w:pPr>
      <w:r>
        <w:rPr>
          <w:rFonts w:hint="eastAsia"/>
          <w:highlight w:val="none"/>
        </w:rPr>
        <w:t xml:space="preserve">一、 自查表 </w:t>
      </w:r>
    </w:p>
    <w:p>
      <w:pPr>
        <w:pStyle w:val="11"/>
        <w:spacing w:before="161" w:line="364" w:lineRule="auto"/>
        <w:ind w:left="480" w:right="359"/>
        <w:rPr>
          <w:highlight w:val="none"/>
        </w:rPr>
      </w:pPr>
      <w:r>
        <w:rPr>
          <w:rFonts w:hint="eastAsia"/>
          <w:highlight w:val="none"/>
        </w:rPr>
        <w:t>二、 资格性文件</w:t>
      </w:r>
    </w:p>
    <w:p>
      <w:pPr>
        <w:pStyle w:val="11"/>
        <w:spacing w:before="161" w:line="364" w:lineRule="auto"/>
        <w:ind w:left="480" w:right="359"/>
        <w:rPr>
          <w:highlight w:val="none"/>
        </w:rPr>
      </w:pPr>
      <w:r>
        <w:rPr>
          <w:rFonts w:hint="eastAsia"/>
          <w:highlight w:val="none"/>
        </w:rPr>
        <w:t>三、 商务部分</w:t>
      </w:r>
    </w:p>
    <w:p>
      <w:pPr>
        <w:pStyle w:val="11"/>
        <w:spacing w:before="161" w:line="364" w:lineRule="auto"/>
        <w:ind w:left="480" w:right="359"/>
        <w:rPr>
          <w:highlight w:val="none"/>
        </w:rPr>
      </w:pPr>
      <w:r>
        <w:rPr>
          <w:rFonts w:hint="eastAsia"/>
          <w:highlight w:val="none"/>
        </w:rPr>
        <w:t>四、 技术部分</w:t>
      </w:r>
    </w:p>
    <w:p>
      <w:pPr>
        <w:pStyle w:val="11"/>
        <w:spacing w:before="161" w:line="364" w:lineRule="auto"/>
        <w:ind w:left="480" w:right="359"/>
        <w:rPr>
          <w:highlight w:val="none"/>
        </w:rPr>
      </w:pPr>
      <w:r>
        <w:rPr>
          <w:rFonts w:hint="eastAsia"/>
          <w:highlight w:val="none"/>
        </w:rPr>
        <w:t xml:space="preserve">五、价格部分 </w:t>
      </w:r>
    </w:p>
    <w:p>
      <w:pPr>
        <w:pStyle w:val="11"/>
        <w:spacing w:before="161" w:line="364" w:lineRule="auto"/>
        <w:ind w:left="480" w:right="359"/>
        <w:rPr>
          <w:highlight w:val="none"/>
        </w:rPr>
      </w:pPr>
      <w:r>
        <w:rPr>
          <w:rFonts w:hint="eastAsia"/>
          <w:highlight w:val="none"/>
        </w:rPr>
        <w:t> </w:t>
      </w:r>
    </w:p>
    <w:p>
      <w:pPr>
        <w:pStyle w:val="11"/>
        <w:spacing w:before="161" w:line="364" w:lineRule="auto"/>
        <w:ind w:left="480" w:right="359" w:firstLine="480" w:firstLineChars="200"/>
        <w:rPr>
          <w:highlight w:val="none"/>
        </w:rPr>
      </w:pPr>
      <w:r>
        <w:rPr>
          <w:rFonts w:hint="eastAsia"/>
          <w:highlight w:val="none"/>
          <w:u w:val="single"/>
        </w:rPr>
        <w:t>注：1.请供应商按照以下文件的要求格式、内容，顺序制作响应文件，并请编制目录及页码，否则可能将影响对响应文件的评价。</w:t>
      </w:r>
    </w:p>
    <w:p>
      <w:pPr>
        <w:spacing w:before="55"/>
        <w:ind w:left="480"/>
        <w:rPr>
          <w:sz w:val="28"/>
          <w:highlight w:val="none"/>
        </w:rPr>
      </w:pPr>
    </w:p>
    <w:p>
      <w:pPr>
        <w:spacing w:before="130"/>
        <w:ind w:left="480"/>
        <w:rPr>
          <w:b/>
          <w:sz w:val="28"/>
          <w:highlight w:val="none"/>
        </w:rPr>
      </w:pPr>
    </w:p>
    <w:p>
      <w:pPr>
        <w:spacing w:before="187"/>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6"/>
        <w:ind w:left="480"/>
        <w:rPr>
          <w:b/>
          <w:sz w:val="28"/>
          <w:highlight w:val="none"/>
        </w:rPr>
      </w:pPr>
    </w:p>
    <w:p>
      <w:pPr>
        <w:spacing w:before="187"/>
        <w:ind w:left="480"/>
        <w:rPr>
          <w:b/>
          <w:sz w:val="28"/>
          <w:highlight w:val="none"/>
        </w:rPr>
      </w:pPr>
    </w:p>
    <w:p>
      <w:pPr>
        <w:spacing w:before="184"/>
        <w:ind w:left="480"/>
        <w:rPr>
          <w:sz w:val="28"/>
          <w:highlight w:val="none"/>
        </w:rPr>
        <w:sectPr>
          <w:pgSz w:w="11910" w:h="16840"/>
          <w:pgMar w:top="1440" w:right="1080" w:bottom="1440" w:left="1080" w:header="0" w:footer="995" w:gutter="0"/>
          <w:cols w:space="720" w:num="1"/>
        </w:sectPr>
      </w:pPr>
    </w:p>
    <w:p>
      <w:pPr>
        <w:spacing w:before="34"/>
        <w:ind w:left="521" w:right="1185"/>
        <w:jc w:val="center"/>
        <w:outlineLvl w:val="0"/>
        <w:rPr>
          <w:b/>
          <w:sz w:val="28"/>
          <w:highlight w:val="none"/>
        </w:rPr>
      </w:pPr>
      <w:bookmarkStart w:id="487" w:name="_Toc6600"/>
      <w:bookmarkStart w:id="488" w:name="_Toc31348"/>
      <w:r>
        <w:rPr>
          <w:rFonts w:hint="eastAsia"/>
          <w:b/>
          <w:sz w:val="28"/>
          <w:highlight w:val="none"/>
        </w:rPr>
        <w:t>一、自查表</w:t>
      </w:r>
      <w:bookmarkEnd w:id="487"/>
      <w:bookmarkEnd w:id="488"/>
    </w:p>
    <w:p>
      <w:pPr>
        <w:spacing w:before="134" w:after="3"/>
        <w:rPr>
          <w:b/>
          <w:sz w:val="28"/>
          <w:highlight w:val="none"/>
        </w:rPr>
      </w:pPr>
      <w:r>
        <w:rPr>
          <w:rFonts w:hint="eastAsia"/>
          <w:b/>
          <w:sz w:val="28"/>
          <w:highlight w:val="none"/>
        </w:rPr>
        <w:t>1、资格性/符合性自查表</w:t>
      </w:r>
    </w:p>
    <w:tbl>
      <w:tblPr>
        <w:tblStyle w:val="25"/>
        <w:tblW w:w="98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5824"/>
        <w:gridCol w:w="1201"/>
        <w:gridCol w:w="1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1593" w:type="dxa"/>
            <w:vAlign w:val="center"/>
          </w:tcPr>
          <w:p>
            <w:pPr>
              <w:pStyle w:val="35"/>
              <w:spacing w:line="300" w:lineRule="exact"/>
              <w:jc w:val="center"/>
              <w:rPr>
                <w:b/>
                <w:sz w:val="21"/>
                <w:highlight w:val="none"/>
              </w:rPr>
            </w:pPr>
            <w:r>
              <w:rPr>
                <w:rFonts w:hint="eastAsia"/>
                <w:b/>
                <w:sz w:val="21"/>
                <w:highlight w:val="none"/>
              </w:rPr>
              <w:t>评审内容</w:t>
            </w:r>
          </w:p>
        </w:tc>
        <w:tc>
          <w:tcPr>
            <w:tcW w:w="5824" w:type="dxa"/>
            <w:vAlign w:val="center"/>
          </w:tcPr>
          <w:p>
            <w:pPr>
              <w:pStyle w:val="35"/>
              <w:spacing w:line="300" w:lineRule="exact"/>
              <w:jc w:val="center"/>
              <w:rPr>
                <w:b/>
                <w:sz w:val="21"/>
                <w:highlight w:val="none"/>
              </w:rPr>
            </w:pPr>
            <w:r>
              <w:rPr>
                <w:rFonts w:hint="eastAsia"/>
                <w:b/>
                <w:sz w:val="21"/>
                <w:highlight w:val="none"/>
              </w:rPr>
              <w:t>采购文件要求</w:t>
            </w:r>
          </w:p>
        </w:tc>
        <w:tc>
          <w:tcPr>
            <w:tcW w:w="1201" w:type="dxa"/>
            <w:vAlign w:val="center"/>
          </w:tcPr>
          <w:p>
            <w:pPr>
              <w:pStyle w:val="35"/>
              <w:spacing w:line="300" w:lineRule="exact"/>
              <w:jc w:val="center"/>
              <w:rPr>
                <w:b/>
                <w:sz w:val="21"/>
                <w:highlight w:val="none"/>
              </w:rPr>
            </w:pPr>
            <w:r>
              <w:rPr>
                <w:rFonts w:hint="eastAsia"/>
                <w:b/>
                <w:sz w:val="21"/>
                <w:highlight w:val="none"/>
              </w:rPr>
              <w:t>自查结论</w:t>
            </w:r>
          </w:p>
        </w:tc>
        <w:tc>
          <w:tcPr>
            <w:tcW w:w="1222" w:type="dxa"/>
            <w:vAlign w:val="center"/>
          </w:tcPr>
          <w:p>
            <w:pPr>
              <w:pStyle w:val="35"/>
              <w:spacing w:line="300" w:lineRule="exact"/>
              <w:jc w:val="center"/>
              <w:rPr>
                <w:b/>
                <w:sz w:val="21"/>
                <w:highlight w:val="none"/>
              </w:rPr>
            </w:pPr>
            <w:r>
              <w:rPr>
                <w:rFonts w:hint="eastAsia"/>
                <w:b/>
                <w:spacing w:val="-2"/>
                <w:sz w:val="21"/>
                <w:highlight w:val="none"/>
              </w:rPr>
              <w:t>证明资料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593" w:type="dxa"/>
            <w:vMerge w:val="restart"/>
          </w:tcPr>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ind w:right="33"/>
              <w:jc w:val="center"/>
              <w:rPr>
                <w:sz w:val="20"/>
                <w:szCs w:val="20"/>
                <w:highlight w:val="none"/>
              </w:rPr>
            </w:pPr>
            <w:r>
              <w:rPr>
                <w:rFonts w:hint="eastAsia"/>
                <w:sz w:val="20"/>
                <w:szCs w:val="20"/>
                <w:highlight w:val="none"/>
              </w:rPr>
              <w:t>资格性检查</w:t>
            </w:r>
          </w:p>
        </w:tc>
        <w:tc>
          <w:tcPr>
            <w:tcW w:w="5824" w:type="dxa"/>
            <w:vAlign w:val="center"/>
          </w:tcPr>
          <w:p>
            <w:pPr>
              <w:pStyle w:val="35"/>
              <w:spacing w:line="300" w:lineRule="exact"/>
              <w:ind w:left="110" w:leftChars="50" w:firstLine="200" w:firstLineChars="100"/>
              <w:rPr>
                <w:sz w:val="20"/>
                <w:szCs w:val="20"/>
                <w:highlight w:val="none"/>
                <w:lang w:eastAsia="zh-CN"/>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lang w:eastAsia="zh-CN"/>
              </w:rPr>
              <w:t>□</w:t>
            </w:r>
            <w:r>
              <w:rPr>
                <w:rFonts w:hint="eastAsia"/>
                <w:spacing w:val="-1"/>
                <w:sz w:val="20"/>
                <w:szCs w:val="20"/>
                <w:highlight w:val="none"/>
              </w:rPr>
              <w:t>通过</w:t>
            </w:r>
          </w:p>
          <w:p>
            <w:pPr>
              <w:pStyle w:val="35"/>
              <w:spacing w:line="300" w:lineRule="exact"/>
              <w:ind w:right="32"/>
              <w:jc w:val="center"/>
              <w:rPr>
                <w:sz w:val="20"/>
                <w:szCs w:val="20"/>
                <w:highlight w:val="none"/>
              </w:rPr>
            </w:pPr>
            <w:r>
              <w:rPr>
                <w:rFonts w:hint="eastAsia"/>
                <w:spacing w:val="-1"/>
                <w:sz w:val="20"/>
                <w:szCs w:val="20"/>
                <w:highlight w:val="none"/>
              </w:rPr>
              <w:t xml:space="preserve"> □不通过</w:t>
            </w:r>
          </w:p>
        </w:tc>
        <w:tc>
          <w:tcPr>
            <w:tcW w:w="1222" w:type="dxa"/>
            <w:vAlign w:val="center"/>
          </w:tcPr>
          <w:p>
            <w:pPr>
              <w:pStyle w:val="35"/>
              <w:spacing w:line="300" w:lineRule="exact"/>
              <w:ind w:left="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jc w:val="center"/>
        </w:trPr>
        <w:tc>
          <w:tcPr>
            <w:tcW w:w="1593" w:type="dxa"/>
            <w:vMerge w:val="continue"/>
          </w:tcPr>
          <w:p>
            <w:pPr>
              <w:pStyle w:val="35"/>
              <w:spacing w:line="300" w:lineRule="exact"/>
              <w:ind w:left="629" w:right="33" w:hanging="540"/>
              <w:jc w:val="center"/>
              <w:rPr>
                <w:sz w:val="20"/>
                <w:szCs w:val="20"/>
                <w:highlight w:val="none"/>
              </w:rPr>
            </w:pPr>
          </w:p>
        </w:tc>
        <w:tc>
          <w:tcPr>
            <w:tcW w:w="5824" w:type="dxa"/>
          </w:tcPr>
          <w:p>
            <w:pPr>
              <w:pStyle w:val="35"/>
              <w:spacing w:line="300" w:lineRule="exact"/>
              <w:ind w:left="110" w:leftChars="50" w:firstLine="200" w:firstLineChars="100"/>
              <w:rPr>
                <w:sz w:val="20"/>
                <w:szCs w:val="20"/>
                <w:highlight w:val="none"/>
                <w:lang w:val="en-US" w:eastAsia="zh-CN"/>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rPr>
              <w:t>□通过</w:t>
            </w:r>
          </w:p>
          <w:p>
            <w:pPr>
              <w:pStyle w:val="35"/>
              <w:spacing w:line="300" w:lineRule="exact"/>
              <w:ind w:right="32"/>
              <w:jc w:val="center"/>
              <w:rPr>
                <w:sz w:val="20"/>
                <w:szCs w:val="20"/>
                <w:highlight w:val="none"/>
              </w:rPr>
            </w:pPr>
            <w:r>
              <w:rPr>
                <w:rFonts w:hint="eastAsia"/>
                <w:spacing w:val="-1"/>
                <w:sz w:val="20"/>
                <w:szCs w:val="20"/>
                <w:highlight w:val="none"/>
              </w:rPr>
              <w:t xml:space="preserve"> □</w:t>
            </w:r>
            <w:r>
              <w:rPr>
                <w:rFonts w:hint="eastAsia"/>
                <w:spacing w:val="-1"/>
                <w:sz w:val="20"/>
                <w:szCs w:val="20"/>
                <w:highlight w:val="none"/>
                <w:lang w:eastAsia="zh-CN"/>
              </w:rPr>
              <w:t>不</w:t>
            </w:r>
            <w:r>
              <w:rPr>
                <w:rFonts w:hint="eastAsia"/>
                <w:spacing w:val="-1"/>
                <w:sz w:val="20"/>
                <w:szCs w:val="20"/>
                <w:highlight w:val="none"/>
              </w:rPr>
              <w:t>通过</w:t>
            </w:r>
          </w:p>
        </w:tc>
        <w:tc>
          <w:tcPr>
            <w:tcW w:w="1222" w:type="dxa"/>
            <w:vAlign w:val="center"/>
          </w:tcPr>
          <w:p>
            <w:pPr>
              <w:spacing w:line="300" w:lineRule="exact"/>
              <w:ind w:left="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1593" w:type="dxa"/>
            <w:vMerge w:val="continue"/>
          </w:tcPr>
          <w:p>
            <w:pPr>
              <w:pStyle w:val="35"/>
              <w:spacing w:line="300" w:lineRule="exact"/>
              <w:ind w:left="629" w:right="33" w:hanging="540"/>
              <w:jc w:val="center"/>
              <w:rPr>
                <w:sz w:val="20"/>
                <w:szCs w:val="20"/>
                <w:highlight w:val="none"/>
              </w:rPr>
            </w:pPr>
          </w:p>
        </w:tc>
        <w:tc>
          <w:tcPr>
            <w:tcW w:w="5824" w:type="dxa"/>
          </w:tcPr>
          <w:p>
            <w:pPr>
              <w:pStyle w:val="35"/>
              <w:spacing w:line="300" w:lineRule="exact"/>
              <w:ind w:left="110" w:leftChars="50" w:firstLine="200" w:firstLineChars="100"/>
              <w:rPr>
                <w:sz w:val="20"/>
                <w:szCs w:val="20"/>
                <w:highlight w:val="none"/>
                <w:lang w:val="en-US"/>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rPr>
              <w:t>□通过</w:t>
            </w:r>
          </w:p>
          <w:p>
            <w:pPr>
              <w:pStyle w:val="35"/>
              <w:spacing w:line="300" w:lineRule="exact"/>
              <w:ind w:right="32"/>
              <w:jc w:val="center"/>
              <w:rPr>
                <w:sz w:val="20"/>
                <w:szCs w:val="20"/>
                <w:highlight w:val="none"/>
              </w:rPr>
            </w:pPr>
            <w:r>
              <w:rPr>
                <w:rFonts w:hint="eastAsia"/>
                <w:spacing w:val="-1"/>
                <w:sz w:val="20"/>
                <w:szCs w:val="20"/>
                <w:highlight w:val="none"/>
              </w:rPr>
              <w:t xml:space="preserve"> □</w:t>
            </w:r>
            <w:r>
              <w:rPr>
                <w:rFonts w:hint="eastAsia"/>
                <w:spacing w:val="-1"/>
                <w:sz w:val="20"/>
                <w:szCs w:val="20"/>
                <w:highlight w:val="none"/>
                <w:lang w:eastAsia="zh-CN"/>
              </w:rPr>
              <w:t>不</w:t>
            </w:r>
            <w:r>
              <w:rPr>
                <w:rFonts w:hint="eastAsia"/>
                <w:spacing w:val="-1"/>
                <w:sz w:val="20"/>
                <w:szCs w:val="20"/>
                <w:highlight w:val="none"/>
              </w:rPr>
              <w:t>通过</w:t>
            </w:r>
          </w:p>
        </w:tc>
        <w:tc>
          <w:tcPr>
            <w:tcW w:w="1222" w:type="dxa"/>
            <w:vAlign w:val="center"/>
          </w:tcPr>
          <w:p>
            <w:pPr>
              <w:spacing w:line="300" w:lineRule="exact"/>
              <w:ind w:left="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93" w:type="dxa"/>
            <w:vMerge w:val="continue"/>
          </w:tcPr>
          <w:p>
            <w:pPr>
              <w:spacing w:line="300" w:lineRule="exact"/>
              <w:jc w:val="center"/>
              <w:rPr>
                <w:sz w:val="20"/>
                <w:szCs w:val="20"/>
                <w:highlight w:val="none"/>
              </w:rPr>
            </w:pPr>
          </w:p>
        </w:tc>
        <w:tc>
          <w:tcPr>
            <w:tcW w:w="5824" w:type="dxa"/>
          </w:tcPr>
          <w:p>
            <w:pPr>
              <w:pStyle w:val="35"/>
              <w:spacing w:line="300" w:lineRule="exact"/>
              <w:ind w:left="110" w:leftChars="50" w:firstLine="200" w:firstLineChars="100"/>
              <w:rPr>
                <w:sz w:val="20"/>
                <w:szCs w:val="20"/>
                <w:highlight w:val="none"/>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rPr>
              <w:t>□通过</w:t>
            </w:r>
          </w:p>
          <w:p>
            <w:pPr>
              <w:pStyle w:val="35"/>
              <w:spacing w:line="300" w:lineRule="exact"/>
              <w:ind w:right="32"/>
              <w:jc w:val="center"/>
              <w:rPr>
                <w:sz w:val="20"/>
                <w:szCs w:val="20"/>
                <w:highlight w:val="none"/>
              </w:rPr>
            </w:pPr>
            <w:r>
              <w:rPr>
                <w:rFonts w:hint="eastAsia"/>
                <w:spacing w:val="-1"/>
                <w:sz w:val="20"/>
                <w:szCs w:val="20"/>
                <w:highlight w:val="none"/>
              </w:rPr>
              <w:t xml:space="preserve"> □不通过</w:t>
            </w:r>
          </w:p>
        </w:tc>
        <w:tc>
          <w:tcPr>
            <w:tcW w:w="1222" w:type="dxa"/>
            <w:vAlign w:val="center"/>
          </w:tcPr>
          <w:p>
            <w:pPr>
              <w:spacing w:line="300" w:lineRule="exact"/>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593" w:type="dxa"/>
            <w:vMerge w:val="continue"/>
          </w:tcPr>
          <w:p>
            <w:pPr>
              <w:spacing w:line="300" w:lineRule="exact"/>
              <w:jc w:val="center"/>
              <w:rPr>
                <w:sz w:val="20"/>
                <w:szCs w:val="20"/>
                <w:highlight w:val="none"/>
              </w:rPr>
            </w:pPr>
          </w:p>
        </w:tc>
        <w:tc>
          <w:tcPr>
            <w:tcW w:w="5824" w:type="dxa"/>
            <w:vAlign w:val="center"/>
          </w:tcPr>
          <w:p>
            <w:pPr>
              <w:pStyle w:val="35"/>
              <w:spacing w:line="300" w:lineRule="exact"/>
              <w:ind w:left="110" w:leftChars="50" w:firstLine="200" w:firstLineChars="100"/>
              <w:rPr>
                <w:sz w:val="20"/>
                <w:szCs w:val="20"/>
                <w:highlight w:val="none"/>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lang w:eastAsia="zh-CN"/>
              </w:rPr>
              <w:t>□</w:t>
            </w:r>
            <w:r>
              <w:rPr>
                <w:rFonts w:hint="eastAsia"/>
                <w:spacing w:val="-1"/>
                <w:sz w:val="20"/>
                <w:szCs w:val="20"/>
                <w:highlight w:val="none"/>
              </w:rPr>
              <w:t>通过</w:t>
            </w:r>
          </w:p>
          <w:p>
            <w:pPr>
              <w:pStyle w:val="35"/>
              <w:spacing w:line="300" w:lineRule="exact"/>
              <w:ind w:right="32"/>
              <w:jc w:val="center"/>
              <w:rPr>
                <w:sz w:val="20"/>
                <w:szCs w:val="20"/>
                <w:highlight w:val="none"/>
              </w:rPr>
            </w:pPr>
            <w:r>
              <w:rPr>
                <w:rFonts w:hint="eastAsia"/>
                <w:spacing w:val="-1"/>
                <w:sz w:val="20"/>
                <w:szCs w:val="20"/>
                <w:highlight w:val="none"/>
              </w:rPr>
              <w:t xml:space="preserve"> □不通过</w:t>
            </w:r>
          </w:p>
        </w:tc>
        <w:tc>
          <w:tcPr>
            <w:tcW w:w="1222" w:type="dxa"/>
            <w:vAlign w:val="center"/>
          </w:tcPr>
          <w:p>
            <w:pPr>
              <w:spacing w:line="300" w:lineRule="exact"/>
              <w:ind w:left="5" w:right="-1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1593" w:type="dxa"/>
            <w:vMerge w:val="continue"/>
          </w:tcPr>
          <w:p>
            <w:pPr>
              <w:spacing w:line="300" w:lineRule="exact"/>
              <w:jc w:val="center"/>
              <w:rPr>
                <w:sz w:val="20"/>
                <w:szCs w:val="20"/>
                <w:highlight w:val="none"/>
              </w:rPr>
            </w:pPr>
          </w:p>
        </w:tc>
        <w:tc>
          <w:tcPr>
            <w:tcW w:w="5824" w:type="dxa"/>
            <w:vAlign w:val="center"/>
          </w:tcPr>
          <w:p>
            <w:pPr>
              <w:pStyle w:val="35"/>
              <w:spacing w:line="300" w:lineRule="exact"/>
              <w:ind w:left="110" w:leftChars="50" w:firstLine="200" w:firstLineChars="100"/>
              <w:rPr>
                <w:sz w:val="20"/>
                <w:szCs w:val="20"/>
                <w:highlight w:val="none"/>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rPr>
              <w:t>□通过</w:t>
            </w:r>
          </w:p>
          <w:p>
            <w:pPr>
              <w:pStyle w:val="35"/>
              <w:spacing w:line="300" w:lineRule="exact"/>
              <w:ind w:right="32"/>
              <w:jc w:val="center"/>
              <w:rPr>
                <w:spacing w:val="-1"/>
                <w:sz w:val="20"/>
                <w:szCs w:val="20"/>
                <w:highlight w:val="none"/>
                <w:lang w:eastAsia="zh-CN"/>
              </w:rPr>
            </w:pPr>
            <w:r>
              <w:rPr>
                <w:rFonts w:hint="eastAsia"/>
                <w:spacing w:val="-1"/>
                <w:sz w:val="20"/>
                <w:szCs w:val="20"/>
                <w:highlight w:val="none"/>
              </w:rPr>
              <w:t>□不通过</w:t>
            </w:r>
          </w:p>
        </w:tc>
        <w:tc>
          <w:tcPr>
            <w:tcW w:w="1222" w:type="dxa"/>
            <w:vAlign w:val="center"/>
          </w:tcPr>
          <w:p>
            <w:pPr>
              <w:spacing w:line="300" w:lineRule="exact"/>
              <w:ind w:left="5" w:right="-15"/>
              <w:jc w:val="center"/>
              <w:rPr>
                <w:spacing w:val="27"/>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trPr>
        <w:tc>
          <w:tcPr>
            <w:tcW w:w="1593" w:type="dxa"/>
            <w:vMerge w:val="continue"/>
          </w:tcPr>
          <w:p>
            <w:pPr>
              <w:spacing w:line="300" w:lineRule="exact"/>
              <w:jc w:val="center"/>
              <w:rPr>
                <w:sz w:val="20"/>
                <w:szCs w:val="20"/>
                <w:highlight w:val="none"/>
              </w:rPr>
            </w:pPr>
          </w:p>
        </w:tc>
        <w:tc>
          <w:tcPr>
            <w:tcW w:w="5824" w:type="dxa"/>
            <w:vAlign w:val="center"/>
          </w:tcPr>
          <w:p>
            <w:pPr>
              <w:pStyle w:val="35"/>
              <w:spacing w:line="300" w:lineRule="exact"/>
              <w:ind w:left="110" w:leftChars="50" w:firstLine="200" w:firstLineChars="100"/>
              <w:rPr>
                <w:sz w:val="20"/>
                <w:szCs w:val="20"/>
                <w:highlight w:val="none"/>
              </w:rPr>
            </w:pPr>
          </w:p>
        </w:tc>
        <w:tc>
          <w:tcPr>
            <w:tcW w:w="1201" w:type="dxa"/>
            <w:vAlign w:val="center"/>
          </w:tcPr>
          <w:p>
            <w:pPr>
              <w:pStyle w:val="35"/>
              <w:spacing w:line="300" w:lineRule="exact"/>
              <w:ind w:right="32"/>
              <w:jc w:val="center"/>
              <w:rPr>
                <w:spacing w:val="-1"/>
                <w:sz w:val="20"/>
                <w:szCs w:val="20"/>
                <w:highlight w:val="none"/>
              </w:rPr>
            </w:pPr>
            <w:r>
              <w:rPr>
                <w:rFonts w:hint="eastAsia"/>
                <w:spacing w:val="-1"/>
                <w:sz w:val="20"/>
                <w:szCs w:val="20"/>
                <w:highlight w:val="none"/>
              </w:rPr>
              <w:t>□通过</w:t>
            </w:r>
          </w:p>
          <w:p>
            <w:pPr>
              <w:pStyle w:val="35"/>
              <w:spacing w:line="300" w:lineRule="exact"/>
              <w:ind w:right="32"/>
              <w:jc w:val="center"/>
              <w:rPr>
                <w:sz w:val="20"/>
                <w:szCs w:val="20"/>
                <w:highlight w:val="none"/>
              </w:rPr>
            </w:pPr>
            <w:r>
              <w:rPr>
                <w:rFonts w:hint="eastAsia"/>
                <w:spacing w:val="-1"/>
                <w:sz w:val="20"/>
                <w:szCs w:val="20"/>
                <w:highlight w:val="none"/>
              </w:rPr>
              <w:t xml:space="preserve"> □不通过</w:t>
            </w:r>
          </w:p>
        </w:tc>
        <w:tc>
          <w:tcPr>
            <w:tcW w:w="1222" w:type="dxa"/>
            <w:vAlign w:val="center"/>
          </w:tcPr>
          <w:p>
            <w:pPr>
              <w:spacing w:line="300" w:lineRule="exact"/>
              <w:ind w:left="5" w:right="-1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1593" w:type="dxa"/>
            <w:vMerge w:val="restart"/>
          </w:tcPr>
          <w:p>
            <w:pPr>
              <w:pStyle w:val="35"/>
              <w:spacing w:line="300" w:lineRule="exact"/>
              <w:jc w:val="center"/>
              <w:rPr>
                <w:b/>
                <w:sz w:val="20"/>
                <w:szCs w:val="20"/>
                <w:highlight w:val="none"/>
              </w:rPr>
            </w:pPr>
          </w:p>
          <w:p>
            <w:pPr>
              <w:pStyle w:val="35"/>
              <w:spacing w:line="300" w:lineRule="exact"/>
              <w:jc w:val="center"/>
              <w:rPr>
                <w:b/>
                <w:sz w:val="20"/>
                <w:szCs w:val="20"/>
                <w:highlight w:val="none"/>
              </w:rPr>
            </w:pPr>
          </w:p>
          <w:p>
            <w:pPr>
              <w:pStyle w:val="35"/>
              <w:spacing w:line="300" w:lineRule="exact"/>
              <w:jc w:val="both"/>
              <w:rPr>
                <w:b/>
                <w:sz w:val="20"/>
                <w:szCs w:val="20"/>
                <w:highlight w:val="none"/>
              </w:rPr>
            </w:pPr>
          </w:p>
          <w:p>
            <w:pPr>
              <w:pStyle w:val="35"/>
              <w:spacing w:line="400" w:lineRule="exact"/>
              <w:ind w:left="4" w:right="74"/>
              <w:jc w:val="center"/>
              <w:rPr>
                <w:sz w:val="20"/>
                <w:szCs w:val="20"/>
                <w:highlight w:val="none"/>
              </w:rPr>
            </w:pPr>
            <w:r>
              <w:rPr>
                <w:rFonts w:hint="eastAsia"/>
                <w:sz w:val="20"/>
                <w:szCs w:val="20"/>
                <w:highlight w:val="none"/>
              </w:rPr>
              <w:t>符合性审查</w:t>
            </w:r>
          </w:p>
        </w:tc>
        <w:tc>
          <w:tcPr>
            <w:tcW w:w="5824" w:type="dxa"/>
          </w:tcPr>
          <w:p>
            <w:pPr>
              <w:pStyle w:val="35"/>
              <w:spacing w:line="300" w:lineRule="exact"/>
              <w:ind w:left="110" w:leftChars="50" w:firstLine="200" w:firstLineChars="100"/>
              <w:rPr>
                <w:sz w:val="20"/>
                <w:szCs w:val="20"/>
                <w:highlight w:val="none"/>
                <w:lang w:val="en-US" w:eastAsia="zh-CN"/>
              </w:rPr>
            </w:pPr>
          </w:p>
        </w:tc>
        <w:tc>
          <w:tcPr>
            <w:tcW w:w="1201" w:type="dxa"/>
            <w:vAlign w:val="center"/>
          </w:tcPr>
          <w:p>
            <w:pPr>
              <w:spacing w:line="300" w:lineRule="exact"/>
              <w:ind w:right="32"/>
              <w:jc w:val="center"/>
              <w:rPr>
                <w:spacing w:val="-1"/>
                <w:sz w:val="20"/>
                <w:szCs w:val="20"/>
                <w:highlight w:val="none"/>
              </w:rPr>
            </w:pPr>
            <w:r>
              <w:rPr>
                <w:rFonts w:hint="eastAsia"/>
                <w:spacing w:val="-1"/>
                <w:sz w:val="20"/>
                <w:szCs w:val="20"/>
                <w:highlight w:val="none"/>
              </w:rPr>
              <w:t>□通过</w:t>
            </w:r>
          </w:p>
          <w:p>
            <w:pPr>
              <w:spacing w:line="300" w:lineRule="exact"/>
              <w:ind w:right="32"/>
              <w:jc w:val="center"/>
              <w:rPr>
                <w:sz w:val="20"/>
                <w:szCs w:val="20"/>
                <w:highlight w:val="none"/>
              </w:rPr>
            </w:pPr>
            <w:r>
              <w:rPr>
                <w:rFonts w:hint="eastAsia"/>
                <w:spacing w:val="-1"/>
                <w:sz w:val="20"/>
                <w:szCs w:val="20"/>
                <w:highlight w:val="none"/>
              </w:rPr>
              <w:t>□不通过</w:t>
            </w:r>
          </w:p>
        </w:tc>
        <w:tc>
          <w:tcPr>
            <w:tcW w:w="1222" w:type="dxa"/>
            <w:vAlign w:val="center"/>
          </w:tcPr>
          <w:p>
            <w:pPr>
              <w:spacing w:line="300" w:lineRule="exact"/>
              <w:ind w:left="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jc w:val="center"/>
        </w:trPr>
        <w:tc>
          <w:tcPr>
            <w:tcW w:w="1593" w:type="dxa"/>
            <w:vMerge w:val="continue"/>
          </w:tcPr>
          <w:p>
            <w:pPr>
              <w:pStyle w:val="35"/>
              <w:spacing w:line="400" w:lineRule="exact"/>
              <w:ind w:left="4" w:right="74"/>
              <w:jc w:val="center"/>
              <w:rPr>
                <w:sz w:val="20"/>
                <w:szCs w:val="20"/>
                <w:highlight w:val="none"/>
              </w:rPr>
            </w:pPr>
          </w:p>
        </w:tc>
        <w:tc>
          <w:tcPr>
            <w:tcW w:w="5824" w:type="dxa"/>
          </w:tcPr>
          <w:p>
            <w:pPr>
              <w:pStyle w:val="35"/>
              <w:spacing w:line="300" w:lineRule="exact"/>
              <w:ind w:left="110" w:leftChars="50" w:firstLine="200" w:firstLineChars="100"/>
              <w:rPr>
                <w:sz w:val="20"/>
                <w:szCs w:val="20"/>
                <w:highlight w:val="none"/>
                <w:lang w:val="en-US" w:eastAsia="zh-CN"/>
              </w:rPr>
            </w:pPr>
          </w:p>
        </w:tc>
        <w:tc>
          <w:tcPr>
            <w:tcW w:w="1201" w:type="dxa"/>
            <w:vAlign w:val="center"/>
          </w:tcPr>
          <w:p>
            <w:pPr>
              <w:spacing w:line="300" w:lineRule="exact"/>
              <w:ind w:right="32"/>
              <w:jc w:val="center"/>
              <w:rPr>
                <w:spacing w:val="-1"/>
                <w:sz w:val="20"/>
                <w:szCs w:val="20"/>
                <w:highlight w:val="none"/>
              </w:rPr>
            </w:pPr>
            <w:r>
              <w:rPr>
                <w:rFonts w:hint="eastAsia"/>
                <w:spacing w:val="-1"/>
                <w:sz w:val="20"/>
                <w:szCs w:val="20"/>
                <w:highlight w:val="none"/>
              </w:rPr>
              <w:t>□通过</w:t>
            </w:r>
          </w:p>
          <w:p>
            <w:pPr>
              <w:spacing w:line="300" w:lineRule="exact"/>
              <w:ind w:right="32"/>
              <w:jc w:val="center"/>
              <w:rPr>
                <w:sz w:val="20"/>
                <w:szCs w:val="20"/>
                <w:highlight w:val="none"/>
              </w:rPr>
            </w:pPr>
            <w:r>
              <w:rPr>
                <w:rFonts w:hint="eastAsia"/>
                <w:spacing w:val="-1"/>
                <w:sz w:val="20"/>
                <w:szCs w:val="20"/>
                <w:highlight w:val="none"/>
              </w:rPr>
              <w:t>□不通过</w:t>
            </w:r>
          </w:p>
        </w:tc>
        <w:tc>
          <w:tcPr>
            <w:tcW w:w="1222" w:type="dxa"/>
            <w:vAlign w:val="center"/>
          </w:tcPr>
          <w:p>
            <w:pPr>
              <w:spacing w:line="300" w:lineRule="exact"/>
              <w:ind w:left="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93" w:type="dxa"/>
            <w:vMerge w:val="continue"/>
          </w:tcPr>
          <w:p>
            <w:pPr>
              <w:pStyle w:val="35"/>
              <w:spacing w:line="400" w:lineRule="exact"/>
              <w:ind w:right="71"/>
              <w:jc w:val="center"/>
              <w:rPr>
                <w:rFonts w:hint="eastAsia" w:eastAsia="宋体"/>
                <w:sz w:val="20"/>
                <w:szCs w:val="20"/>
                <w:highlight w:val="none"/>
                <w:lang w:eastAsia="zh-CN"/>
              </w:rPr>
            </w:pPr>
          </w:p>
        </w:tc>
        <w:tc>
          <w:tcPr>
            <w:tcW w:w="5824" w:type="dxa"/>
            <w:vAlign w:val="center"/>
          </w:tcPr>
          <w:p>
            <w:pPr>
              <w:pStyle w:val="35"/>
              <w:spacing w:line="300" w:lineRule="exact"/>
              <w:ind w:left="110" w:leftChars="50" w:firstLine="200" w:firstLineChars="100"/>
              <w:rPr>
                <w:sz w:val="20"/>
                <w:szCs w:val="20"/>
                <w:highlight w:val="none"/>
                <w:lang w:val="en-US" w:eastAsia="zh-CN"/>
              </w:rPr>
            </w:pPr>
          </w:p>
        </w:tc>
        <w:tc>
          <w:tcPr>
            <w:tcW w:w="1201" w:type="dxa"/>
            <w:vAlign w:val="center"/>
          </w:tcPr>
          <w:p>
            <w:pPr>
              <w:spacing w:line="300" w:lineRule="exact"/>
              <w:ind w:right="32"/>
              <w:jc w:val="center"/>
              <w:rPr>
                <w:spacing w:val="-1"/>
                <w:sz w:val="20"/>
                <w:szCs w:val="20"/>
                <w:highlight w:val="none"/>
              </w:rPr>
            </w:pPr>
            <w:r>
              <w:rPr>
                <w:rFonts w:hint="eastAsia"/>
                <w:spacing w:val="-1"/>
                <w:sz w:val="20"/>
                <w:szCs w:val="20"/>
                <w:highlight w:val="none"/>
              </w:rPr>
              <w:t>□通过</w:t>
            </w:r>
          </w:p>
          <w:p>
            <w:pPr>
              <w:spacing w:line="300" w:lineRule="exact"/>
              <w:ind w:right="32"/>
              <w:jc w:val="center"/>
              <w:rPr>
                <w:sz w:val="20"/>
                <w:szCs w:val="20"/>
                <w:highlight w:val="none"/>
              </w:rPr>
            </w:pPr>
            <w:r>
              <w:rPr>
                <w:rFonts w:hint="eastAsia"/>
                <w:spacing w:val="-1"/>
                <w:sz w:val="20"/>
                <w:szCs w:val="20"/>
                <w:highlight w:val="none"/>
              </w:rPr>
              <w:t>□不通过</w:t>
            </w:r>
          </w:p>
        </w:tc>
        <w:tc>
          <w:tcPr>
            <w:tcW w:w="1222" w:type="dxa"/>
            <w:vAlign w:val="center"/>
          </w:tcPr>
          <w:p>
            <w:pPr>
              <w:spacing w:line="300" w:lineRule="exact"/>
              <w:ind w:left="5"/>
              <w:jc w:val="center"/>
              <w:rPr>
                <w:sz w:val="20"/>
                <w:szCs w:val="20"/>
                <w:highlight w:val="none"/>
              </w:rPr>
            </w:pPr>
            <w:r>
              <w:rPr>
                <w:rFonts w:hint="eastAsia"/>
                <w:spacing w:val="27"/>
                <w:sz w:val="20"/>
                <w:szCs w:val="20"/>
                <w:highlight w:val="none"/>
              </w:rPr>
              <w:t>见响应文件第（）页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93" w:type="dxa"/>
            <w:vMerge w:val="continue"/>
          </w:tcPr>
          <w:p>
            <w:pPr>
              <w:pStyle w:val="35"/>
              <w:spacing w:line="400" w:lineRule="exact"/>
              <w:ind w:left="4" w:leftChars="0" w:right="71" w:rightChars="0"/>
              <w:jc w:val="center"/>
              <w:rPr>
                <w:rFonts w:hint="eastAsia"/>
                <w:sz w:val="20"/>
                <w:szCs w:val="20"/>
                <w:highlight w:val="none"/>
              </w:rPr>
            </w:pPr>
          </w:p>
        </w:tc>
        <w:tc>
          <w:tcPr>
            <w:tcW w:w="5824" w:type="dxa"/>
            <w:vAlign w:val="center"/>
          </w:tcPr>
          <w:p>
            <w:pPr>
              <w:pStyle w:val="35"/>
              <w:spacing w:line="300" w:lineRule="exact"/>
              <w:ind w:left="110" w:leftChars="50" w:firstLine="200" w:firstLineChars="100"/>
              <w:rPr>
                <w:rFonts w:hint="eastAsia"/>
                <w:sz w:val="20"/>
                <w:szCs w:val="20"/>
                <w:highlight w:val="none"/>
                <w:lang w:val="en-US" w:eastAsia="zh-CN"/>
              </w:rPr>
            </w:pPr>
          </w:p>
        </w:tc>
        <w:tc>
          <w:tcPr>
            <w:tcW w:w="1201" w:type="dxa"/>
            <w:vAlign w:val="center"/>
          </w:tcPr>
          <w:p>
            <w:pPr>
              <w:spacing w:line="300" w:lineRule="exact"/>
              <w:ind w:right="32"/>
              <w:jc w:val="center"/>
              <w:rPr>
                <w:spacing w:val="-1"/>
                <w:sz w:val="20"/>
                <w:szCs w:val="20"/>
                <w:highlight w:val="none"/>
              </w:rPr>
            </w:pPr>
            <w:r>
              <w:rPr>
                <w:rFonts w:hint="eastAsia"/>
                <w:spacing w:val="-1"/>
                <w:sz w:val="20"/>
                <w:szCs w:val="20"/>
                <w:highlight w:val="none"/>
              </w:rPr>
              <w:t>□通过</w:t>
            </w:r>
          </w:p>
          <w:p>
            <w:pPr>
              <w:spacing w:line="300" w:lineRule="exact"/>
              <w:ind w:right="32" w:rightChars="0"/>
              <w:jc w:val="center"/>
              <w:rPr>
                <w:rFonts w:hint="eastAsia"/>
                <w:spacing w:val="-1"/>
                <w:sz w:val="20"/>
                <w:szCs w:val="20"/>
                <w:highlight w:val="none"/>
              </w:rPr>
            </w:pPr>
            <w:r>
              <w:rPr>
                <w:rFonts w:hint="eastAsia"/>
                <w:spacing w:val="-1"/>
                <w:sz w:val="20"/>
                <w:szCs w:val="20"/>
                <w:highlight w:val="none"/>
              </w:rPr>
              <w:t>□不通过</w:t>
            </w:r>
          </w:p>
        </w:tc>
        <w:tc>
          <w:tcPr>
            <w:tcW w:w="1222" w:type="dxa"/>
            <w:vAlign w:val="center"/>
          </w:tcPr>
          <w:p>
            <w:pPr>
              <w:spacing w:line="300" w:lineRule="exact"/>
              <w:ind w:left="5" w:leftChars="0"/>
              <w:jc w:val="center"/>
              <w:rPr>
                <w:rFonts w:hint="eastAsia"/>
                <w:spacing w:val="27"/>
                <w:sz w:val="20"/>
                <w:szCs w:val="20"/>
                <w:highlight w:val="none"/>
              </w:rPr>
            </w:pPr>
            <w:r>
              <w:rPr>
                <w:rFonts w:hint="eastAsia"/>
                <w:spacing w:val="27"/>
                <w:sz w:val="20"/>
                <w:szCs w:val="20"/>
                <w:highlight w:val="none"/>
              </w:rPr>
              <w:t>见响应文件第（）页</w:t>
            </w:r>
          </w:p>
        </w:tc>
      </w:tr>
    </w:tbl>
    <w:p>
      <w:pPr>
        <w:spacing w:line="300" w:lineRule="exact"/>
        <w:ind w:firstLine="360" w:firstLineChars="200"/>
        <w:rPr>
          <w:sz w:val="18"/>
          <w:highlight w:val="none"/>
        </w:rPr>
      </w:pPr>
      <w:r>
        <w:rPr>
          <w:rFonts w:hint="eastAsia"/>
          <w:sz w:val="18"/>
          <w:highlight w:val="none"/>
        </w:rPr>
        <w:t xml:space="preserve">注：以上材料将作为供应商合格性和有效性审核的重要内容之一，供应商必须严格按照其内容及序列要求在响应文件中对应如实提供，对缺漏和不符合项将会直接导致无效响应！在对应的□打“√”。 </w:t>
      </w:r>
    </w:p>
    <w:p>
      <w:pPr>
        <w:spacing w:line="300" w:lineRule="exact"/>
        <w:ind w:firstLine="360" w:firstLineChars="200"/>
        <w:rPr>
          <w:sz w:val="18"/>
          <w:highlight w:val="none"/>
        </w:rPr>
      </w:pPr>
      <w:r>
        <w:rPr>
          <w:rFonts w:hint="eastAsia"/>
          <w:sz w:val="18"/>
          <w:highlight w:val="none"/>
        </w:rPr>
        <w:t xml:space="preserve">供应商法定代表人（或法定代表人授权代表）签字： </w:t>
      </w:r>
    </w:p>
    <w:p>
      <w:pPr>
        <w:spacing w:line="300" w:lineRule="exact"/>
        <w:ind w:firstLine="360" w:firstLineChars="200"/>
        <w:rPr>
          <w:sz w:val="18"/>
          <w:highlight w:val="none"/>
        </w:rPr>
      </w:pPr>
      <w:r>
        <w:rPr>
          <w:rFonts w:hint="eastAsia"/>
          <w:sz w:val="18"/>
          <w:highlight w:val="none"/>
        </w:rPr>
        <w:t>供应商名称（签章</w:t>
      </w:r>
      <w:r>
        <w:rPr>
          <w:rFonts w:hint="eastAsia"/>
          <w:spacing w:val="-92"/>
          <w:sz w:val="18"/>
          <w:highlight w:val="none"/>
        </w:rPr>
        <w:t>）</w:t>
      </w:r>
      <w:r>
        <w:rPr>
          <w:rFonts w:hint="eastAsia"/>
          <w:sz w:val="18"/>
          <w:highlight w:val="none"/>
        </w:rPr>
        <w:t>：</w:t>
      </w:r>
    </w:p>
    <w:p>
      <w:pPr>
        <w:spacing w:line="300" w:lineRule="exact"/>
        <w:ind w:firstLine="360" w:firstLineChars="200"/>
        <w:rPr>
          <w:sz w:val="21"/>
          <w:highlight w:val="none"/>
        </w:rPr>
      </w:pPr>
      <w:r>
        <w:rPr>
          <w:rFonts w:hint="eastAsia"/>
          <w:sz w:val="18"/>
          <w:highlight w:val="none"/>
        </w:rPr>
        <w:t>日 期 ： 年 月 日</w:t>
      </w:r>
    </w:p>
    <w:p>
      <w:pPr>
        <w:spacing w:line="300" w:lineRule="exact"/>
        <w:ind w:firstLine="420" w:firstLineChars="200"/>
        <w:jc w:val="right"/>
        <w:rPr>
          <w:sz w:val="21"/>
          <w:highlight w:val="none"/>
        </w:rPr>
        <w:sectPr>
          <w:pgSz w:w="11910" w:h="16840"/>
          <w:pgMar w:top="1440" w:right="1080" w:bottom="1440" w:left="1080" w:header="0" w:footer="995" w:gutter="0"/>
          <w:cols w:space="720" w:num="1"/>
        </w:sectPr>
      </w:pPr>
    </w:p>
    <w:p>
      <w:pPr>
        <w:pStyle w:val="7"/>
        <w:spacing w:before="40"/>
        <w:ind w:left="521" w:right="1189"/>
        <w:jc w:val="center"/>
        <w:rPr>
          <w:highlight w:val="none"/>
        </w:rPr>
      </w:pPr>
      <w:bookmarkStart w:id="489" w:name="_Toc16873"/>
      <w:bookmarkStart w:id="490" w:name="_Toc15819"/>
      <w:r>
        <w:rPr>
          <w:rFonts w:hint="eastAsia"/>
          <w:highlight w:val="none"/>
        </w:rPr>
        <w:t>二、资格性文件</w:t>
      </w:r>
      <w:bookmarkEnd w:id="489"/>
      <w:bookmarkEnd w:id="490"/>
    </w:p>
    <w:p>
      <w:pPr>
        <w:pStyle w:val="34"/>
        <w:numPr>
          <w:ilvl w:val="0"/>
          <w:numId w:val="17"/>
        </w:numPr>
        <w:tabs>
          <w:tab w:val="left" w:pos="902"/>
        </w:tabs>
        <w:spacing w:line="400" w:lineRule="exact"/>
        <w:rPr>
          <w:b/>
          <w:sz w:val="28"/>
          <w:highlight w:val="none"/>
        </w:rPr>
      </w:pPr>
      <w:r>
        <w:rPr>
          <w:rFonts w:hint="eastAsia"/>
          <w:b/>
          <w:sz w:val="28"/>
          <w:highlight w:val="none"/>
          <w:lang w:val="en-US" w:eastAsia="zh-CN"/>
        </w:rPr>
        <w:t>投标</w:t>
      </w:r>
      <w:r>
        <w:rPr>
          <w:rFonts w:hint="eastAsia"/>
          <w:b/>
          <w:sz w:val="28"/>
          <w:highlight w:val="none"/>
        </w:rPr>
        <w:t>函</w:t>
      </w:r>
    </w:p>
    <w:p>
      <w:pPr>
        <w:pStyle w:val="11"/>
        <w:spacing w:line="400" w:lineRule="exact"/>
        <w:rPr>
          <w:highlight w:val="none"/>
        </w:rPr>
      </w:pPr>
      <w:r>
        <w:rPr>
          <w:rFonts w:hint="eastAsia"/>
          <w:highlight w:val="none"/>
        </w:rPr>
        <w:t>（采购人</w:t>
      </w:r>
      <w:r>
        <w:rPr>
          <w:highlight w:val="none"/>
        </w:rPr>
        <w:t>/</w:t>
      </w:r>
      <w:r>
        <w:rPr>
          <w:rFonts w:hint="eastAsia"/>
          <w:highlight w:val="none"/>
        </w:rPr>
        <w:t xml:space="preserve">采购代理机构）： </w:t>
      </w:r>
    </w:p>
    <w:p>
      <w:pPr>
        <w:pStyle w:val="11"/>
        <w:spacing w:line="400" w:lineRule="exact"/>
        <w:ind w:right="377" w:firstLine="480" w:firstLineChars="200"/>
        <w:rPr>
          <w:highlight w:val="none"/>
        </w:rPr>
      </w:pPr>
      <w:r>
        <w:rPr>
          <w:rFonts w:hint="eastAsia"/>
          <w:highlight w:val="none"/>
        </w:rPr>
        <w:t>依据贵方采购项目名称（采购项目编号</w:t>
      </w:r>
      <w:r>
        <w:rPr>
          <w:highlight w:val="none"/>
        </w:rPr>
        <w:t>)</w:t>
      </w:r>
      <w:r>
        <w:rPr>
          <w:rFonts w:hint="eastAsia"/>
          <w:highlight w:val="none"/>
        </w:rPr>
        <w:t>：项目招标采购</w:t>
      </w:r>
      <w:r>
        <w:rPr>
          <w:rFonts w:hint="eastAsia"/>
          <w:highlight w:val="none"/>
          <w:lang w:val="en-US" w:eastAsia="zh-CN"/>
        </w:rPr>
        <w:t>项目</w:t>
      </w:r>
      <w:r>
        <w:rPr>
          <w:rFonts w:hint="eastAsia"/>
          <w:highlight w:val="none"/>
        </w:rPr>
        <w:t>的</w:t>
      </w:r>
      <w:r>
        <w:rPr>
          <w:rFonts w:hint="eastAsia"/>
          <w:highlight w:val="none"/>
          <w:lang w:val="en-US" w:eastAsia="zh-CN"/>
        </w:rPr>
        <w:t>采购</w:t>
      </w:r>
      <w:r>
        <w:rPr>
          <w:rFonts w:hint="eastAsia"/>
          <w:highlight w:val="none"/>
        </w:rPr>
        <w:t>邀请，我方代表（姓名、职务）经正式授权并代表（供应商名称、地址）提交下述文件正本</w:t>
      </w:r>
      <w:r>
        <w:rPr>
          <w:rFonts w:hint="eastAsia"/>
          <w:highlight w:val="none"/>
          <w:u w:val="single"/>
        </w:rPr>
        <w:t>一</w:t>
      </w:r>
      <w:r>
        <w:rPr>
          <w:rFonts w:hint="eastAsia"/>
          <w:highlight w:val="none"/>
        </w:rPr>
        <w:t>份，副本</w:t>
      </w:r>
      <w:r>
        <w:rPr>
          <w:rFonts w:hint="eastAsia"/>
          <w:highlight w:val="none"/>
          <w:u w:val="single"/>
          <w:lang w:eastAsia="zh-CN"/>
        </w:rPr>
        <w:t>二</w:t>
      </w:r>
      <w:r>
        <w:rPr>
          <w:rFonts w:hint="eastAsia"/>
          <w:highlight w:val="none"/>
        </w:rPr>
        <w:t xml:space="preserve">份。 </w:t>
      </w:r>
    </w:p>
    <w:p>
      <w:pPr>
        <w:pStyle w:val="34"/>
        <w:numPr>
          <w:ilvl w:val="1"/>
          <w:numId w:val="17"/>
        </w:numPr>
        <w:spacing w:line="400" w:lineRule="exact"/>
        <w:ind w:left="0" w:firstLine="480" w:firstLineChars="200"/>
        <w:rPr>
          <w:sz w:val="24"/>
          <w:highlight w:val="none"/>
        </w:rPr>
      </w:pPr>
      <w:r>
        <w:rPr>
          <w:rFonts w:hint="eastAsia"/>
          <w:sz w:val="24"/>
          <w:highlight w:val="none"/>
        </w:rPr>
        <w:t xml:space="preserve">自查表； </w:t>
      </w:r>
    </w:p>
    <w:p>
      <w:pPr>
        <w:pStyle w:val="34"/>
        <w:numPr>
          <w:ilvl w:val="1"/>
          <w:numId w:val="17"/>
        </w:numPr>
        <w:spacing w:line="400" w:lineRule="exact"/>
        <w:ind w:left="0" w:firstLine="480" w:firstLineChars="200"/>
        <w:rPr>
          <w:sz w:val="24"/>
          <w:highlight w:val="none"/>
        </w:rPr>
      </w:pPr>
      <w:r>
        <w:rPr>
          <w:rFonts w:hint="eastAsia"/>
          <w:sz w:val="24"/>
          <w:highlight w:val="none"/>
        </w:rPr>
        <w:t xml:space="preserve">资格性文件； </w:t>
      </w:r>
    </w:p>
    <w:p>
      <w:pPr>
        <w:pStyle w:val="34"/>
        <w:numPr>
          <w:ilvl w:val="1"/>
          <w:numId w:val="17"/>
        </w:numPr>
        <w:spacing w:line="400" w:lineRule="exact"/>
        <w:ind w:left="0" w:firstLine="476" w:firstLineChars="200"/>
        <w:rPr>
          <w:sz w:val="24"/>
          <w:highlight w:val="none"/>
        </w:rPr>
      </w:pPr>
      <w:r>
        <w:rPr>
          <w:rFonts w:hint="eastAsia"/>
          <w:spacing w:val="-1"/>
          <w:sz w:val="24"/>
          <w:highlight w:val="none"/>
        </w:rPr>
        <w:t xml:space="preserve">商务部分； </w:t>
      </w:r>
    </w:p>
    <w:p>
      <w:pPr>
        <w:pStyle w:val="34"/>
        <w:numPr>
          <w:ilvl w:val="1"/>
          <w:numId w:val="17"/>
        </w:numPr>
        <w:spacing w:line="400" w:lineRule="exact"/>
        <w:ind w:left="0" w:firstLine="476" w:firstLineChars="200"/>
        <w:rPr>
          <w:sz w:val="24"/>
          <w:highlight w:val="none"/>
        </w:rPr>
      </w:pPr>
      <w:r>
        <w:rPr>
          <w:rFonts w:hint="eastAsia"/>
          <w:spacing w:val="-1"/>
          <w:sz w:val="24"/>
          <w:highlight w:val="none"/>
        </w:rPr>
        <w:t xml:space="preserve">技术部分； </w:t>
      </w:r>
    </w:p>
    <w:p>
      <w:pPr>
        <w:pStyle w:val="34"/>
        <w:numPr>
          <w:ilvl w:val="1"/>
          <w:numId w:val="17"/>
        </w:numPr>
        <w:spacing w:line="400" w:lineRule="exact"/>
        <w:ind w:left="0" w:firstLine="476" w:firstLineChars="200"/>
        <w:rPr>
          <w:highlight w:val="none"/>
        </w:rPr>
      </w:pPr>
      <w:r>
        <w:rPr>
          <w:rFonts w:hint="eastAsia"/>
          <w:spacing w:val="-1"/>
          <w:sz w:val="24"/>
          <w:highlight w:val="none"/>
        </w:rPr>
        <w:t xml:space="preserve">价格部分。 </w:t>
      </w:r>
    </w:p>
    <w:p>
      <w:pPr>
        <w:pStyle w:val="34"/>
        <w:tabs>
          <w:tab w:val="left" w:pos="1200"/>
        </w:tabs>
        <w:spacing w:line="400" w:lineRule="exact"/>
        <w:ind w:left="440" w:leftChars="200" w:firstLine="0"/>
        <w:rPr>
          <w:highlight w:val="none"/>
        </w:rPr>
      </w:pPr>
      <w:r>
        <w:rPr>
          <w:rFonts w:hint="eastAsia"/>
          <w:highlight w:val="none"/>
        </w:rPr>
        <w:t xml:space="preserve">在此，我方声明如下： </w:t>
      </w:r>
    </w:p>
    <w:p>
      <w:pPr>
        <w:pStyle w:val="34"/>
        <w:numPr>
          <w:ilvl w:val="0"/>
          <w:numId w:val="18"/>
        </w:numPr>
        <w:spacing w:line="400" w:lineRule="exact"/>
        <w:ind w:left="0" w:firstLine="464" w:firstLineChars="200"/>
        <w:rPr>
          <w:sz w:val="24"/>
          <w:highlight w:val="none"/>
        </w:rPr>
      </w:pPr>
      <w:r>
        <w:rPr>
          <w:rFonts w:hint="eastAsia"/>
          <w:spacing w:val="-4"/>
          <w:sz w:val="24"/>
          <w:highlight w:val="none"/>
        </w:rPr>
        <w:t>同意并接受</w:t>
      </w:r>
      <w:r>
        <w:rPr>
          <w:rFonts w:hint="eastAsia"/>
          <w:spacing w:val="-4"/>
          <w:sz w:val="24"/>
          <w:highlight w:val="none"/>
          <w:lang w:val="en-US" w:eastAsia="zh-CN"/>
        </w:rPr>
        <w:t>采购</w:t>
      </w:r>
      <w:r>
        <w:rPr>
          <w:rFonts w:hint="eastAsia"/>
          <w:spacing w:val="-4"/>
          <w:sz w:val="24"/>
          <w:highlight w:val="none"/>
        </w:rPr>
        <w:t>文件的各项要求，遵守</w:t>
      </w:r>
      <w:r>
        <w:rPr>
          <w:rFonts w:hint="eastAsia"/>
          <w:spacing w:val="-4"/>
          <w:sz w:val="24"/>
          <w:highlight w:val="none"/>
          <w:lang w:val="en-US" w:eastAsia="zh-CN"/>
        </w:rPr>
        <w:t>采购</w:t>
      </w:r>
      <w:r>
        <w:rPr>
          <w:rFonts w:hint="eastAsia"/>
          <w:spacing w:val="-4"/>
          <w:sz w:val="24"/>
          <w:highlight w:val="none"/>
        </w:rPr>
        <w:t>文件中的各项规定，按</w:t>
      </w:r>
      <w:r>
        <w:rPr>
          <w:rFonts w:hint="eastAsia"/>
          <w:spacing w:val="-4"/>
          <w:sz w:val="24"/>
          <w:highlight w:val="none"/>
          <w:lang w:val="en-US" w:eastAsia="zh-CN"/>
        </w:rPr>
        <w:t>采购</w:t>
      </w:r>
      <w:r>
        <w:rPr>
          <w:rFonts w:hint="eastAsia"/>
          <w:spacing w:val="-4"/>
          <w:sz w:val="24"/>
          <w:highlight w:val="none"/>
        </w:rPr>
        <w:t>文件的要求提供</w:t>
      </w:r>
      <w:r>
        <w:rPr>
          <w:rFonts w:hint="eastAsia"/>
          <w:sz w:val="24"/>
          <w:highlight w:val="none"/>
        </w:rPr>
        <w:t xml:space="preserve">报价。 </w:t>
      </w:r>
    </w:p>
    <w:p>
      <w:pPr>
        <w:pStyle w:val="34"/>
        <w:numPr>
          <w:ilvl w:val="0"/>
          <w:numId w:val="18"/>
        </w:numPr>
        <w:spacing w:line="400" w:lineRule="exact"/>
        <w:ind w:left="0" w:firstLine="464" w:firstLineChars="200"/>
        <w:rPr>
          <w:sz w:val="24"/>
          <w:highlight w:val="none"/>
        </w:rPr>
      </w:pPr>
      <w:r>
        <w:rPr>
          <w:rFonts w:hint="eastAsia"/>
          <w:spacing w:val="-4"/>
          <w:sz w:val="24"/>
          <w:highlight w:val="none"/>
          <w:lang w:val="en-US" w:eastAsia="zh-CN"/>
        </w:rPr>
        <w:t>响应</w:t>
      </w:r>
      <w:r>
        <w:rPr>
          <w:rFonts w:hint="eastAsia"/>
          <w:spacing w:val="-4"/>
          <w:sz w:val="24"/>
          <w:highlight w:val="none"/>
        </w:rPr>
        <w:t xml:space="preserve">有效期为递交响应文件之日起 </w:t>
      </w:r>
      <w:r>
        <w:rPr>
          <w:rFonts w:hint="eastAsia"/>
          <w:sz w:val="24"/>
          <w:highlight w:val="none"/>
          <w:u w:val="single"/>
          <w:lang w:val="en-US" w:eastAsia="zh-CN"/>
        </w:rPr>
        <w:t>60</w:t>
      </w:r>
      <w:r>
        <w:rPr>
          <w:rFonts w:hint="eastAsia"/>
          <w:spacing w:val="-8"/>
          <w:sz w:val="24"/>
          <w:highlight w:val="none"/>
          <w:lang w:val="en-US" w:eastAsia="zh-CN"/>
        </w:rPr>
        <w:t>个日历</w:t>
      </w:r>
      <w:r>
        <w:rPr>
          <w:rFonts w:hint="eastAsia"/>
          <w:spacing w:val="-8"/>
          <w:sz w:val="24"/>
          <w:highlight w:val="none"/>
        </w:rPr>
        <w:t>天，成交供应商</w:t>
      </w:r>
      <w:r>
        <w:rPr>
          <w:rFonts w:hint="eastAsia"/>
          <w:spacing w:val="-8"/>
          <w:sz w:val="24"/>
          <w:highlight w:val="none"/>
          <w:lang w:val="en-US" w:eastAsia="zh-CN"/>
        </w:rPr>
        <w:t>响应</w:t>
      </w:r>
      <w:r>
        <w:rPr>
          <w:rFonts w:hint="eastAsia"/>
          <w:spacing w:val="-8"/>
          <w:sz w:val="24"/>
          <w:highlight w:val="none"/>
        </w:rPr>
        <w:t xml:space="preserve">有效期延至合同验收之日。 </w:t>
      </w:r>
    </w:p>
    <w:p>
      <w:pPr>
        <w:pStyle w:val="34"/>
        <w:numPr>
          <w:ilvl w:val="0"/>
          <w:numId w:val="18"/>
        </w:numPr>
        <w:spacing w:line="400" w:lineRule="exact"/>
        <w:ind w:left="0" w:firstLine="468" w:firstLineChars="200"/>
        <w:rPr>
          <w:sz w:val="24"/>
          <w:highlight w:val="none"/>
        </w:rPr>
      </w:pPr>
      <w:r>
        <w:rPr>
          <w:rFonts w:hint="eastAsia"/>
          <w:spacing w:val="-3"/>
          <w:sz w:val="24"/>
          <w:highlight w:val="none"/>
        </w:rPr>
        <w:t>我方已经详细地阅读了全部</w:t>
      </w:r>
      <w:r>
        <w:rPr>
          <w:rFonts w:hint="eastAsia"/>
          <w:spacing w:val="-3"/>
          <w:sz w:val="24"/>
          <w:highlight w:val="none"/>
          <w:lang w:val="en-US" w:eastAsia="zh-CN"/>
        </w:rPr>
        <w:t>采购</w:t>
      </w:r>
      <w:r>
        <w:rPr>
          <w:rFonts w:hint="eastAsia"/>
          <w:spacing w:val="-3"/>
          <w:sz w:val="24"/>
          <w:highlight w:val="none"/>
        </w:rPr>
        <w:t>文件及其附件，包括澄清及参考文件(如果有的话)。我</w:t>
      </w:r>
      <w:r>
        <w:rPr>
          <w:rFonts w:hint="eastAsia"/>
          <w:spacing w:val="-4"/>
          <w:sz w:val="24"/>
          <w:highlight w:val="none"/>
        </w:rPr>
        <w:t>方已完全清晰理解</w:t>
      </w:r>
      <w:r>
        <w:rPr>
          <w:rFonts w:hint="eastAsia"/>
          <w:spacing w:val="-4"/>
          <w:sz w:val="24"/>
          <w:highlight w:val="none"/>
          <w:lang w:val="en-US" w:eastAsia="zh-CN"/>
        </w:rPr>
        <w:t>采购</w:t>
      </w:r>
      <w:r>
        <w:rPr>
          <w:rFonts w:hint="eastAsia"/>
          <w:spacing w:val="-4"/>
          <w:sz w:val="24"/>
          <w:highlight w:val="none"/>
        </w:rPr>
        <w:t>文件的要求，不存在任何含糊不清和误解之处，同意放弃对这些文件所</w:t>
      </w:r>
      <w:r>
        <w:rPr>
          <w:rFonts w:hint="eastAsia"/>
          <w:sz w:val="24"/>
          <w:highlight w:val="none"/>
        </w:rPr>
        <w:t xml:space="preserve">提出的异议和质疑的权利。 </w:t>
      </w:r>
    </w:p>
    <w:p>
      <w:pPr>
        <w:pStyle w:val="34"/>
        <w:numPr>
          <w:ilvl w:val="0"/>
          <w:numId w:val="18"/>
        </w:numPr>
        <w:spacing w:line="400" w:lineRule="exact"/>
        <w:ind w:left="0" w:firstLine="480" w:firstLineChars="200"/>
        <w:rPr>
          <w:sz w:val="24"/>
          <w:highlight w:val="none"/>
        </w:rPr>
      </w:pPr>
      <w:r>
        <w:rPr>
          <w:rFonts w:hint="eastAsia"/>
          <w:sz w:val="24"/>
          <w:highlight w:val="none"/>
        </w:rPr>
        <w:t xml:space="preserve">我方已毫无保留地向贵方提供一切所需的证明材料。 </w:t>
      </w:r>
    </w:p>
    <w:p>
      <w:pPr>
        <w:pStyle w:val="34"/>
        <w:numPr>
          <w:ilvl w:val="0"/>
          <w:numId w:val="18"/>
        </w:numPr>
        <w:spacing w:line="400" w:lineRule="exact"/>
        <w:ind w:left="0" w:firstLine="480" w:firstLineChars="200"/>
        <w:rPr>
          <w:sz w:val="24"/>
          <w:highlight w:val="none"/>
        </w:rPr>
      </w:pPr>
      <w:r>
        <w:rPr>
          <w:rFonts w:hint="eastAsia"/>
          <w:sz w:val="24"/>
          <w:highlight w:val="none"/>
        </w:rPr>
        <w:t xml:space="preserve">我方承诺在本次响应文件中提供的一切文件，无论是原件还是复印件均为真实和准确的，绝无任何虚假、伪造和夸大的成份，否则，愿承担相应的后果和法律责任。 </w:t>
      </w:r>
    </w:p>
    <w:p>
      <w:pPr>
        <w:pStyle w:val="34"/>
        <w:numPr>
          <w:ilvl w:val="0"/>
          <w:numId w:val="18"/>
        </w:numPr>
        <w:spacing w:line="400" w:lineRule="exact"/>
        <w:ind w:left="0" w:firstLine="464" w:firstLineChars="200"/>
        <w:rPr>
          <w:sz w:val="24"/>
          <w:highlight w:val="none"/>
        </w:rPr>
      </w:pPr>
      <w:r>
        <w:rPr>
          <w:rFonts w:hint="eastAsia"/>
          <w:spacing w:val="-4"/>
          <w:sz w:val="24"/>
          <w:highlight w:val="none"/>
        </w:rPr>
        <w:t>我方完全服从和尊重评委会所作的评定结果，同时清楚理解到报价最低并非意味着必定</w:t>
      </w:r>
      <w:r>
        <w:rPr>
          <w:rFonts w:hint="eastAsia"/>
          <w:sz w:val="24"/>
          <w:highlight w:val="none"/>
        </w:rPr>
        <w:t xml:space="preserve">获得中标资格。 </w:t>
      </w:r>
    </w:p>
    <w:p>
      <w:pPr>
        <w:pStyle w:val="34"/>
        <w:numPr>
          <w:ilvl w:val="0"/>
          <w:numId w:val="18"/>
        </w:numPr>
        <w:spacing w:line="400" w:lineRule="exact"/>
        <w:ind w:left="0" w:firstLine="480" w:firstLineChars="200"/>
        <w:rPr>
          <w:sz w:val="24"/>
          <w:highlight w:val="none"/>
        </w:rPr>
      </w:pPr>
      <w:r>
        <w:rPr>
          <w:rFonts w:hint="eastAsia"/>
          <w:sz w:val="24"/>
          <w:highlight w:val="none"/>
        </w:rPr>
        <w:t>我方同意按</w:t>
      </w:r>
      <w:r>
        <w:rPr>
          <w:rFonts w:hint="eastAsia"/>
          <w:sz w:val="24"/>
          <w:highlight w:val="none"/>
          <w:lang w:val="en-US" w:eastAsia="zh-CN"/>
        </w:rPr>
        <w:t>采购</w:t>
      </w:r>
      <w:r>
        <w:rPr>
          <w:rFonts w:hint="eastAsia"/>
          <w:sz w:val="24"/>
          <w:highlight w:val="none"/>
        </w:rPr>
        <w:t>文件规定</w:t>
      </w:r>
      <w:r>
        <w:rPr>
          <w:rFonts w:hint="eastAsia"/>
          <w:sz w:val="24"/>
          <w:highlight w:val="none"/>
          <w:lang w:eastAsia="zh-CN"/>
        </w:rPr>
        <w:t>向</w:t>
      </w:r>
      <w:r>
        <w:rPr>
          <w:rFonts w:hint="eastAsia"/>
          <w:sz w:val="24"/>
          <w:highlight w:val="none"/>
        </w:rPr>
        <w:t xml:space="preserve">招标采购单位缴纳履约保证金。 </w:t>
      </w:r>
    </w:p>
    <w:p>
      <w:pPr>
        <w:pStyle w:val="11"/>
        <w:spacing w:line="400" w:lineRule="exact"/>
        <w:ind w:left="477"/>
        <w:rPr>
          <w:highlight w:val="none"/>
        </w:rPr>
      </w:pPr>
    </w:p>
    <w:p>
      <w:pPr>
        <w:pStyle w:val="11"/>
        <w:spacing w:line="400" w:lineRule="exact"/>
        <w:ind w:left="477"/>
        <w:rPr>
          <w:highlight w:val="none"/>
        </w:rPr>
      </w:pPr>
      <w:r>
        <w:rPr>
          <w:rFonts w:hint="eastAsia"/>
          <w:highlight w:val="none"/>
        </w:rPr>
        <w:t>供应商：</w:t>
      </w:r>
    </w:p>
    <w:p>
      <w:pPr>
        <w:pStyle w:val="11"/>
        <w:spacing w:line="400" w:lineRule="exact"/>
        <w:ind w:left="477" w:right="70"/>
        <w:rPr>
          <w:highlight w:val="none"/>
        </w:rPr>
      </w:pPr>
      <w:r>
        <w:rPr>
          <w:rFonts w:hint="eastAsia"/>
          <w:highlight w:val="none"/>
        </w:rPr>
        <w:t>地 址 ：     传真：</w:t>
      </w:r>
    </w:p>
    <w:p>
      <w:pPr>
        <w:pStyle w:val="11"/>
        <w:spacing w:line="400" w:lineRule="exact"/>
        <w:ind w:left="477" w:right="70"/>
        <w:rPr>
          <w:highlight w:val="none"/>
        </w:rPr>
      </w:pPr>
      <w:r>
        <w:rPr>
          <w:rFonts w:hint="eastAsia"/>
          <w:highlight w:val="none"/>
        </w:rPr>
        <w:t>电 话 ： 电子邮件：</w:t>
      </w:r>
    </w:p>
    <w:p>
      <w:pPr>
        <w:pStyle w:val="11"/>
        <w:spacing w:line="400" w:lineRule="exact"/>
        <w:ind w:left="477" w:right="70"/>
        <w:rPr>
          <w:highlight w:val="none"/>
        </w:rPr>
      </w:pPr>
      <w:r>
        <w:rPr>
          <w:rFonts w:hint="eastAsia"/>
          <w:highlight w:val="none"/>
        </w:rPr>
        <w:t xml:space="preserve">供应商（法定代表人授权代表）代表签字： 供应商名称(公章)： </w:t>
      </w:r>
    </w:p>
    <w:p>
      <w:pPr>
        <w:pStyle w:val="11"/>
        <w:spacing w:line="400" w:lineRule="exact"/>
        <w:ind w:left="477" w:right="70"/>
        <w:rPr>
          <w:highlight w:val="none"/>
        </w:rPr>
      </w:pPr>
      <w:r>
        <w:rPr>
          <w:rFonts w:hint="eastAsia"/>
          <w:highlight w:val="none"/>
        </w:rPr>
        <w:t xml:space="preserve">开户银行： </w:t>
      </w:r>
      <w:r>
        <w:rPr>
          <w:rFonts w:hint="eastAsia"/>
          <w:highlight w:val="none"/>
          <w:lang w:eastAsia="zh-CN"/>
        </w:rPr>
        <w:t>账号</w:t>
      </w:r>
      <w:bookmarkStart w:id="507" w:name="_GoBack"/>
      <w:bookmarkEnd w:id="507"/>
      <w:r>
        <w:rPr>
          <w:rFonts w:hint="eastAsia"/>
          <w:highlight w:val="none"/>
        </w:rPr>
        <w:t>：</w:t>
      </w:r>
    </w:p>
    <w:p>
      <w:pPr>
        <w:pStyle w:val="11"/>
        <w:spacing w:line="400" w:lineRule="exact"/>
        <w:ind w:left="477"/>
        <w:rPr>
          <w:highlight w:val="none"/>
        </w:rPr>
      </w:pPr>
      <w:r>
        <w:rPr>
          <w:rFonts w:hint="eastAsia"/>
          <w:highlight w:val="none"/>
        </w:rPr>
        <w:t>日期：</w:t>
      </w:r>
    </w:p>
    <w:p>
      <w:pPr>
        <w:spacing w:line="400" w:lineRule="exact"/>
        <w:rPr>
          <w:highlight w:val="none"/>
        </w:rPr>
        <w:sectPr>
          <w:footerReference r:id="rId13" w:type="default"/>
          <w:pgSz w:w="11910" w:h="16840"/>
          <w:pgMar w:top="1440" w:right="1080" w:bottom="1440" w:left="1080" w:header="0" w:footer="796" w:gutter="0"/>
          <w:cols w:space="720" w:num="1"/>
        </w:sectPr>
      </w:pPr>
    </w:p>
    <w:p>
      <w:pPr>
        <w:pStyle w:val="7"/>
        <w:numPr>
          <w:ilvl w:val="0"/>
          <w:numId w:val="19"/>
        </w:numPr>
        <w:tabs>
          <w:tab w:val="left" w:pos="902"/>
        </w:tabs>
        <w:jc w:val="left"/>
        <w:rPr>
          <w:sz w:val="26"/>
          <w:highlight w:val="none"/>
        </w:rPr>
      </w:pPr>
      <w:r>
        <w:rPr>
          <w:rFonts w:hint="eastAsia"/>
          <w:highlight w:val="none"/>
        </w:rPr>
        <w:t>法定代表人/负责人资格证明书及授权委托书</w:t>
      </w:r>
    </w:p>
    <w:p>
      <w:pPr>
        <w:spacing w:before="107"/>
        <w:ind w:left="3133"/>
        <w:rPr>
          <w:b/>
          <w:sz w:val="28"/>
          <w:highlight w:val="none"/>
        </w:rPr>
      </w:pPr>
    </w:p>
    <w:p>
      <w:pPr>
        <w:spacing w:before="107"/>
        <w:ind w:firstLine="281" w:firstLineChars="100"/>
        <w:rPr>
          <w:b/>
          <w:sz w:val="28"/>
          <w:highlight w:val="none"/>
        </w:rPr>
      </w:pPr>
      <w:r>
        <w:rPr>
          <w:rFonts w:hint="eastAsia"/>
          <w:b/>
          <w:sz w:val="28"/>
          <w:highlight w:val="none"/>
        </w:rPr>
        <w:t>（1）法定代表人/负责人资格证明书</w:t>
      </w:r>
    </w:p>
    <w:p>
      <w:pPr>
        <w:pStyle w:val="11"/>
        <w:spacing w:line="500" w:lineRule="exact"/>
        <w:ind w:left="440" w:leftChars="200"/>
        <w:rPr>
          <w:highlight w:val="none"/>
        </w:rPr>
      </w:pPr>
      <w:r>
        <w:rPr>
          <w:rFonts w:hint="eastAsia"/>
          <w:highlight w:val="none"/>
        </w:rPr>
        <w:t>致：（采购人</w:t>
      </w:r>
      <w:r>
        <w:rPr>
          <w:highlight w:val="none"/>
        </w:rPr>
        <w:t>/</w:t>
      </w:r>
      <w:r>
        <w:rPr>
          <w:rFonts w:hint="eastAsia"/>
          <w:highlight w:val="none"/>
        </w:rPr>
        <w:t>采购代理机构）</w:t>
      </w:r>
    </w:p>
    <w:p>
      <w:pPr>
        <w:pStyle w:val="11"/>
        <w:spacing w:line="500" w:lineRule="exact"/>
        <w:ind w:left="880" w:leftChars="400"/>
        <w:rPr>
          <w:highlight w:val="none"/>
        </w:rPr>
      </w:pPr>
      <w:r>
        <w:rPr>
          <w:rFonts w:hint="eastAsia"/>
          <w:highlight w:val="none"/>
        </w:rPr>
        <w:t>同志，现任我单位职务，为</w:t>
      </w:r>
      <w:r>
        <w:rPr>
          <w:rFonts w:hint="eastAsia"/>
          <w:highlight w:val="none"/>
          <w:lang w:val="en-US" w:eastAsia="zh-CN"/>
        </w:rPr>
        <w:t>（单位名称）</w:t>
      </w:r>
      <w:r>
        <w:rPr>
          <w:rFonts w:hint="eastAsia"/>
          <w:highlight w:val="none"/>
        </w:rPr>
        <w:t>法定代表人，</w:t>
      </w:r>
    </w:p>
    <w:p>
      <w:pPr>
        <w:pStyle w:val="11"/>
        <w:spacing w:line="500" w:lineRule="exact"/>
        <w:ind w:left="880" w:leftChars="400"/>
        <w:rPr>
          <w:highlight w:val="none"/>
        </w:rPr>
      </w:pPr>
      <w:r>
        <w:rPr>
          <w:rFonts w:hint="eastAsia"/>
          <w:highlight w:val="none"/>
        </w:rPr>
        <w:t>特此证明。</w:t>
      </w:r>
    </w:p>
    <w:p>
      <w:pPr>
        <w:pStyle w:val="11"/>
        <w:spacing w:line="500" w:lineRule="exact"/>
        <w:ind w:left="440" w:leftChars="200"/>
        <w:rPr>
          <w:highlight w:val="none"/>
        </w:rPr>
      </w:pPr>
      <w:r>
        <w:rPr>
          <w:rFonts w:hint="eastAsia"/>
          <w:highlight w:val="none"/>
        </w:rPr>
        <w:t xml:space="preserve">签发日期： 单位：  （盖章） </w:t>
      </w:r>
    </w:p>
    <w:p>
      <w:pPr>
        <w:pStyle w:val="11"/>
        <w:tabs>
          <w:tab w:val="left" w:pos="8800"/>
        </w:tabs>
        <w:spacing w:line="500" w:lineRule="exact"/>
        <w:ind w:left="440" w:leftChars="200"/>
        <w:rPr>
          <w:highlight w:val="none"/>
        </w:rPr>
      </w:pPr>
      <w:r>
        <w:rPr>
          <w:rFonts w:hint="eastAsia"/>
          <w:highlight w:val="none"/>
        </w:rPr>
        <w:t xml:space="preserve">附：代表人性别：          年龄：   身份证号码： </w:t>
      </w:r>
    </w:p>
    <w:p>
      <w:pPr>
        <w:pStyle w:val="11"/>
        <w:tabs>
          <w:tab w:val="left" w:pos="8800"/>
        </w:tabs>
        <w:spacing w:line="500" w:lineRule="exact"/>
        <w:ind w:left="440" w:leftChars="200"/>
        <w:rPr>
          <w:highlight w:val="none"/>
        </w:rPr>
      </w:pPr>
      <w:r>
        <w:rPr>
          <w:rFonts w:hint="eastAsia"/>
          <w:highlight w:val="none"/>
        </w:rPr>
        <w:t xml:space="preserve">联系电话： </w:t>
      </w:r>
    </w:p>
    <w:p>
      <w:pPr>
        <w:pStyle w:val="11"/>
        <w:spacing w:line="500" w:lineRule="exact"/>
        <w:ind w:left="440" w:leftChars="200"/>
        <w:rPr>
          <w:highlight w:val="none"/>
          <w:lang w:eastAsia="zh-CN"/>
        </w:rPr>
      </w:pPr>
      <w:r>
        <w:rPr>
          <w:rFonts w:hint="eastAsia"/>
          <w:highlight w:val="none"/>
        </w:rPr>
        <w:t>营业执照号码：经济性质：</w:t>
      </w:r>
    </w:p>
    <w:p>
      <w:pPr>
        <w:pStyle w:val="11"/>
        <w:spacing w:line="500" w:lineRule="exact"/>
        <w:ind w:left="440" w:leftChars="200"/>
        <w:rPr>
          <w:highlight w:val="none"/>
        </w:rPr>
      </w:pPr>
      <w:r>
        <w:rPr>
          <w:rFonts w:hint="eastAsia"/>
          <w:highlight w:val="none"/>
        </w:rPr>
        <w:t>主营（产</w:t>
      </w:r>
      <w:r>
        <w:rPr>
          <w:rFonts w:hint="eastAsia"/>
          <w:spacing w:val="-120"/>
          <w:highlight w:val="none"/>
        </w:rPr>
        <w:t>）</w:t>
      </w:r>
      <w:r>
        <w:rPr>
          <w:rFonts w:hint="eastAsia"/>
          <w:spacing w:val="-1"/>
          <w:highlight w:val="none"/>
        </w:rPr>
        <w:t>：</w:t>
      </w:r>
    </w:p>
    <w:p>
      <w:pPr>
        <w:pStyle w:val="11"/>
        <w:spacing w:line="500" w:lineRule="exact"/>
        <w:ind w:left="440" w:leftChars="200"/>
        <w:rPr>
          <w:highlight w:val="none"/>
        </w:rPr>
      </w:pPr>
      <w:r>
        <w:rPr>
          <w:rFonts w:hint="eastAsia"/>
          <w:highlight w:val="none"/>
        </w:rPr>
        <w:t>兼营（产</w:t>
      </w:r>
      <w:r>
        <w:rPr>
          <w:rFonts w:hint="eastAsia"/>
          <w:spacing w:val="-120"/>
          <w:highlight w:val="none"/>
        </w:rPr>
        <w:t>）</w:t>
      </w:r>
      <w:r>
        <w:rPr>
          <w:rFonts w:hint="eastAsia"/>
          <w:spacing w:val="-1"/>
          <w:highlight w:val="none"/>
        </w:rPr>
        <w:t>：</w:t>
      </w:r>
    </w:p>
    <w:p>
      <w:pPr>
        <w:pStyle w:val="11"/>
        <w:spacing w:line="500" w:lineRule="exact"/>
        <w:ind w:left="440" w:leftChars="200"/>
        <w:rPr>
          <w:highlight w:val="none"/>
        </w:rPr>
      </w:pPr>
      <w:r>
        <w:rPr>
          <w:rFonts w:hint="eastAsia"/>
          <w:highlight w:val="none"/>
        </w:rPr>
        <w:t xml:space="preserve">进口物品经营许可证号码：主营： </w:t>
      </w:r>
    </w:p>
    <w:p>
      <w:pPr>
        <w:pStyle w:val="11"/>
        <w:spacing w:line="500" w:lineRule="exact"/>
        <w:ind w:left="440" w:leftChars="200"/>
        <w:rPr>
          <w:spacing w:val="-1"/>
          <w:highlight w:val="none"/>
        </w:rPr>
      </w:pPr>
      <w:r>
        <w:rPr>
          <w:rFonts w:hint="eastAsia"/>
          <w:spacing w:val="-1"/>
          <w:highlight w:val="none"/>
        </w:rPr>
        <w:t xml:space="preserve">兼营： </w:t>
      </w:r>
    </w:p>
    <w:p>
      <w:pPr>
        <w:pStyle w:val="11"/>
        <w:spacing w:line="500" w:lineRule="exact"/>
        <w:ind w:left="440" w:leftChars="200"/>
        <w:rPr>
          <w:spacing w:val="-1"/>
          <w:highlight w:val="none"/>
        </w:rPr>
      </w:pPr>
    </w:p>
    <w:p>
      <w:pPr>
        <w:pStyle w:val="11"/>
        <w:spacing w:line="500" w:lineRule="exact"/>
        <w:ind w:left="110" w:leftChars="50"/>
        <w:rPr>
          <w:highlight w:val="none"/>
        </w:rPr>
      </w:pPr>
      <w:r>
        <w:rPr>
          <w:rFonts w:hint="eastAsia"/>
          <w:highlight w:val="none"/>
        </w:rPr>
        <w:t xml:space="preserve">说明：1.法定代表人为企业事业单位、国家机关、社会团体的主要行政负责人。 </w:t>
      </w:r>
    </w:p>
    <w:p>
      <w:pPr>
        <w:pStyle w:val="11"/>
        <w:spacing w:line="500" w:lineRule="exact"/>
        <w:ind w:left="880" w:leftChars="400"/>
        <w:rPr>
          <w:highlight w:val="none"/>
        </w:rPr>
      </w:pPr>
      <w:r>
        <w:rPr>
          <w:rFonts w:hint="eastAsia"/>
          <w:highlight w:val="none"/>
          <w:lang w:val="en-US" w:eastAsia="zh-CN"/>
        </w:rPr>
        <w:t>2.</w:t>
      </w:r>
      <w:r>
        <w:rPr>
          <w:rFonts w:hint="eastAsia"/>
          <w:highlight w:val="none"/>
        </w:rPr>
        <w:t xml:space="preserve">内容必须填写真实、清楚、涂改无效，不得转让、买卖。 </w:t>
      </w:r>
    </w:p>
    <w:p>
      <w:pPr>
        <w:pStyle w:val="11"/>
        <w:spacing w:line="500" w:lineRule="exact"/>
        <w:ind w:left="880" w:leftChars="400"/>
        <w:rPr>
          <w:highlight w:val="none"/>
        </w:rPr>
      </w:pPr>
      <w:r>
        <w:rPr>
          <w:rFonts w:hint="eastAsia"/>
          <w:highlight w:val="none"/>
          <w:lang w:val="en-US" w:eastAsia="zh-CN"/>
        </w:rPr>
        <w:t>3.</w:t>
      </w:r>
      <w:r>
        <w:rPr>
          <w:rFonts w:hint="eastAsia"/>
          <w:highlight w:val="none"/>
        </w:rPr>
        <w:t>将此证明书提交对方作为合同附件。</w:t>
      </w:r>
    </w:p>
    <w:p>
      <w:pPr>
        <w:pStyle w:val="11"/>
        <w:spacing w:line="500" w:lineRule="exact"/>
        <w:ind w:left="880" w:leftChars="400"/>
        <w:rPr>
          <w:highlight w:val="none"/>
        </w:rPr>
      </w:pPr>
    </w:p>
    <w:p>
      <w:pPr>
        <w:pStyle w:val="8"/>
        <w:spacing w:line="360" w:lineRule="auto"/>
        <w:ind w:left="0"/>
        <w:rPr>
          <w:b w:val="0"/>
          <w:highlight w:val="none"/>
        </w:rPr>
      </w:pPr>
      <w:r>
        <w:rPr>
          <w:rFonts w:hint="eastAsia"/>
          <w:highlight w:val="none"/>
        </w:rPr>
        <w:t>(为避免废标，请供应商务必提供本附件)</w:t>
      </w:r>
    </w:p>
    <w:p>
      <w:pPr>
        <w:pStyle w:val="11"/>
        <w:spacing w:before="4" w:after="5"/>
        <w:ind w:left="477"/>
        <w:rPr>
          <w:highlight w:val="none"/>
        </w:rPr>
      </w:pPr>
    </w:p>
    <w:p>
      <w:pPr>
        <w:pStyle w:val="11"/>
        <w:ind w:left="2815"/>
        <w:rPr>
          <w:sz w:val="20"/>
          <w:highlight w:val="none"/>
        </w:rPr>
      </w:pPr>
      <w:r>
        <w:rPr>
          <w:sz w:val="20"/>
          <w:highlight w:val="none"/>
          <w:lang w:val="en-US" w:eastAsia="zh-CN" w:bidi="ar-SA"/>
        </w:rPr>
        <mc:AlternateContent>
          <mc:Choice Requires="wps">
            <w:drawing>
              <wp:inline distT="0" distB="0" distL="114300" distR="114300">
                <wp:extent cx="2858135" cy="1797685"/>
                <wp:effectExtent l="4445" t="4445" r="13970" b="7620"/>
                <wp:docPr id="1" name="文本框 4"/>
                <wp:cNvGraphicFramePr/>
                <a:graphic xmlns:a="http://schemas.openxmlformats.org/drawingml/2006/main">
                  <a:graphicData uri="http://schemas.microsoft.com/office/word/2010/wordprocessingShape">
                    <wps:wsp>
                      <wps:cNvSpPr txBox="true"/>
                      <wps:spPr>
                        <a:xfrm>
                          <a:off x="0" y="0"/>
                          <a:ext cx="2858135" cy="1797685"/>
                        </a:xfrm>
                        <a:prstGeom prst="rect">
                          <a:avLst/>
                        </a:prstGeom>
                        <a:noFill/>
                        <a:ln w="6096" cap="flat" cmpd="sng">
                          <a:solidFill>
                            <a:srgbClr val="000000"/>
                          </a:solidFill>
                          <a:prstDash val="solid"/>
                          <a:miter/>
                          <a:headEnd type="none" w="med" len="med"/>
                          <a:tailEnd type="none" w="med" len="med"/>
                        </a:ln>
                      </wps:spPr>
                      <wps:txbx>
                        <w:txbxContent>
                          <w:p>
                            <w:pPr>
                              <w:pStyle w:val="11"/>
                            </w:pPr>
                          </w:p>
                          <w:p>
                            <w:pPr>
                              <w:pStyle w:val="11"/>
                            </w:pPr>
                          </w:p>
                          <w:p>
                            <w:pPr>
                              <w:pStyle w:val="11"/>
                            </w:pPr>
                          </w:p>
                          <w:p>
                            <w:pPr>
                              <w:pStyle w:val="11"/>
                              <w:spacing w:before="12"/>
                              <w:rPr>
                                <w:sz w:val="25"/>
                              </w:rPr>
                            </w:pPr>
                          </w:p>
                          <w:p>
                            <w:pPr>
                              <w:ind w:left="437"/>
                              <w:rPr>
                                <w:b/>
                                <w:sz w:val="24"/>
                              </w:rPr>
                            </w:pPr>
                            <w:r>
                              <w:rPr>
                                <w:b/>
                                <w:sz w:val="24"/>
                              </w:rPr>
                              <w:t>法定代表人身份证正、反面复印件</w:t>
                            </w:r>
                          </w:p>
                        </w:txbxContent>
                      </wps:txbx>
                      <wps:bodyPr lIns="0" tIns="0" rIns="0" bIns="0" upright="true"/>
                    </wps:wsp>
                  </a:graphicData>
                </a:graphic>
              </wp:inline>
            </w:drawing>
          </mc:Choice>
          <mc:Fallback>
            <w:pict>
              <v:shape id="文本框 4" o:spid="_x0000_s1026" o:spt="202" type="#_x0000_t202" style="height:141.55pt;width:225.05pt;" filled="f" stroked="t" coordsize="21600,21600" o:gfxdata="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RnSQDdMAAAAFAQAADwAAAAAAAAABACAA&#10;AAA4AAAAZHJzL2Rvd25yZXYueG1sUEsBAhQAFAAAAAgAh07iQK3wOWP8AQAA6gMAAA4AAAAAAAAA&#10;AQAgAAAAOAEAAGRycy9lMm9Eb2MueG1sUEsFBgAAAAAGAAYAWQEAAKYFAAAAAA==&#10;">
                <v:fill on="f" focussize="0,0"/>
                <v:stroke weight="0.48pt" color="#000000" joinstyle="miter"/>
                <v:imagedata o:title=""/>
                <o:lock v:ext="edit" aspectratio="f"/>
                <v:textbox inset="0mm,0mm,0mm,0mm">
                  <w:txbxContent>
                    <w:p>
                      <w:pPr>
                        <w:pStyle w:val="11"/>
                      </w:pPr>
                    </w:p>
                    <w:p>
                      <w:pPr>
                        <w:pStyle w:val="11"/>
                      </w:pPr>
                    </w:p>
                    <w:p>
                      <w:pPr>
                        <w:pStyle w:val="11"/>
                      </w:pPr>
                    </w:p>
                    <w:p>
                      <w:pPr>
                        <w:pStyle w:val="11"/>
                        <w:spacing w:before="12"/>
                        <w:rPr>
                          <w:sz w:val="25"/>
                        </w:rPr>
                      </w:pPr>
                    </w:p>
                    <w:p>
                      <w:pPr>
                        <w:ind w:left="437"/>
                        <w:rPr>
                          <w:b/>
                          <w:sz w:val="24"/>
                        </w:rPr>
                      </w:pPr>
                      <w:r>
                        <w:rPr>
                          <w:b/>
                          <w:sz w:val="24"/>
                        </w:rPr>
                        <w:t>法定代表人身份证正、反面复印件</w:t>
                      </w:r>
                    </w:p>
                  </w:txbxContent>
                </v:textbox>
                <w10:wrap type="none"/>
                <w10:anchorlock/>
              </v:shape>
            </w:pict>
          </mc:Fallback>
        </mc:AlternateContent>
      </w:r>
    </w:p>
    <w:p>
      <w:pPr>
        <w:pStyle w:val="7"/>
        <w:spacing w:before="46"/>
        <w:ind w:left="3133"/>
        <w:rPr>
          <w:highlight w:val="none"/>
        </w:rPr>
        <w:sectPr>
          <w:pgSz w:w="11910" w:h="16840"/>
          <w:pgMar w:top="1440" w:right="1080" w:bottom="1440" w:left="1080" w:header="0" w:footer="796" w:gutter="0"/>
          <w:cols w:space="720" w:num="1"/>
        </w:sectPr>
      </w:pPr>
    </w:p>
    <w:p>
      <w:pPr>
        <w:pStyle w:val="7"/>
        <w:spacing w:before="46"/>
        <w:ind w:left="3133"/>
        <w:rPr>
          <w:highlight w:val="none"/>
        </w:rPr>
      </w:pPr>
      <w:r>
        <w:rPr>
          <w:rFonts w:hint="eastAsia"/>
          <w:highlight w:val="none"/>
        </w:rPr>
        <w:t>（2）法定代表人/负责人授权委托书</w:t>
      </w:r>
    </w:p>
    <w:p>
      <w:pPr>
        <w:pStyle w:val="11"/>
        <w:spacing w:before="17"/>
        <w:ind w:left="477"/>
        <w:rPr>
          <w:highlight w:val="none"/>
        </w:rPr>
      </w:pPr>
    </w:p>
    <w:p>
      <w:pPr>
        <w:pStyle w:val="11"/>
        <w:spacing w:before="17"/>
        <w:ind w:left="477"/>
        <w:rPr>
          <w:highlight w:val="none"/>
        </w:rPr>
      </w:pPr>
    </w:p>
    <w:p>
      <w:pPr>
        <w:pStyle w:val="11"/>
        <w:spacing w:before="17"/>
        <w:ind w:left="477"/>
        <w:rPr>
          <w:highlight w:val="none"/>
        </w:rPr>
      </w:pPr>
      <w:r>
        <w:rPr>
          <w:rFonts w:hint="eastAsia"/>
          <w:highlight w:val="none"/>
        </w:rPr>
        <w:t>致：（采购人</w:t>
      </w:r>
      <w:r>
        <w:rPr>
          <w:highlight w:val="none"/>
        </w:rPr>
        <w:t>/</w:t>
      </w:r>
      <w:r>
        <w:rPr>
          <w:rFonts w:hint="eastAsia"/>
          <w:highlight w:val="none"/>
        </w:rPr>
        <w:t>采购代理机构）</w:t>
      </w:r>
    </w:p>
    <w:p>
      <w:pPr>
        <w:pStyle w:val="11"/>
        <w:spacing w:before="10"/>
        <w:rPr>
          <w:sz w:val="23"/>
          <w:highlight w:val="none"/>
        </w:rPr>
      </w:pPr>
    </w:p>
    <w:p>
      <w:pPr>
        <w:pStyle w:val="11"/>
        <w:spacing w:line="374" w:lineRule="auto"/>
        <w:ind w:left="477" w:right="416" w:firstLine="480"/>
        <w:jc w:val="both"/>
        <w:rPr>
          <w:highlight w:val="none"/>
        </w:rPr>
      </w:pPr>
      <w:r>
        <w:rPr>
          <w:rFonts w:hint="eastAsia"/>
          <w:highlight w:val="none"/>
        </w:rPr>
        <w:t>兹授权同志，为我方签订经济合同及办理其他事务代理人，其权限是：</w:t>
      </w:r>
      <w:r>
        <w:rPr>
          <w:rFonts w:hint="eastAsia"/>
          <w:highlight w:val="none"/>
          <w:u w:val="single"/>
          <w:lang w:eastAsia="zh-CN"/>
        </w:rPr>
        <w:t>代</w:t>
      </w:r>
      <w:r>
        <w:rPr>
          <w:rFonts w:hint="eastAsia"/>
          <w:spacing w:val="-2"/>
          <w:highlight w:val="none"/>
          <w:u w:val="single"/>
        </w:rPr>
        <w:t>表本公司参与上述采购项目的响应，负责提供与签署确认一切文书资料，以及向贵方递交的任何补充承诺</w:t>
      </w:r>
      <w:r>
        <w:rPr>
          <w:rFonts w:hint="eastAsia"/>
          <w:spacing w:val="-2"/>
          <w:highlight w:val="none"/>
        </w:rPr>
        <w:t xml:space="preserve">。 </w:t>
      </w:r>
    </w:p>
    <w:p>
      <w:pPr>
        <w:pStyle w:val="11"/>
        <w:spacing w:line="500" w:lineRule="exact"/>
        <w:ind w:firstLine="480" w:firstLineChars="200"/>
        <w:rPr>
          <w:highlight w:val="none"/>
        </w:rPr>
      </w:pPr>
      <w:r>
        <w:rPr>
          <w:rFonts w:hint="eastAsia"/>
          <w:highlight w:val="none"/>
        </w:rPr>
        <w:t>授权单位：（盖章）     法定代表人</w:t>
      </w:r>
      <w:r>
        <w:rPr>
          <w:rFonts w:hint="eastAsia"/>
          <w:highlight w:val="none"/>
          <w:lang w:eastAsia="zh-CN"/>
        </w:rPr>
        <w:t>：</w:t>
      </w:r>
      <w:r>
        <w:rPr>
          <w:rFonts w:hint="eastAsia"/>
          <w:highlight w:val="none"/>
        </w:rPr>
        <w:t xml:space="preserve">（签名或盖私章） </w:t>
      </w:r>
    </w:p>
    <w:p>
      <w:pPr>
        <w:pStyle w:val="11"/>
        <w:spacing w:line="500" w:lineRule="exact"/>
        <w:ind w:firstLine="480" w:firstLineChars="200"/>
        <w:rPr>
          <w:highlight w:val="none"/>
          <w:lang w:eastAsia="zh-CN"/>
        </w:rPr>
      </w:pPr>
      <w:r>
        <w:rPr>
          <w:rFonts w:hint="eastAsia"/>
          <w:highlight w:val="none"/>
        </w:rPr>
        <w:t>有效期限：年月日至年月日</w:t>
      </w:r>
    </w:p>
    <w:p>
      <w:pPr>
        <w:pStyle w:val="11"/>
        <w:spacing w:line="500" w:lineRule="exact"/>
        <w:ind w:firstLine="480" w:firstLineChars="200"/>
        <w:rPr>
          <w:highlight w:val="none"/>
          <w:lang w:eastAsia="zh-CN"/>
        </w:rPr>
      </w:pPr>
      <w:r>
        <w:rPr>
          <w:rFonts w:hint="eastAsia"/>
          <w:highlight w:val="none"/>
        </w:rPr>
        <w:t>签发日期：</w:t>
      </w:r>
    </w:p>
    <w:p>
      <w:pPr>
        <w:pStyle w:val="11"/>
        <w:spacing w:line="500" w:lineRule="exact"/>
        <w:ind w:firstLine="480" w:firstLineChars="200"/>
        <w:rPr>
          <w:highlight w:val="none"/>
          <w:lang w:eastAsia="zh-CN"/>
        </w:rPr>
      </w:pPr>
      <w:r>
        <w:rPr>
          <w:rFonts w:hint="eastAsia"/>
          <w:highlight w:val="none"/>
        </w:rPr>
        <w:t>附：代理人性别：年龄：职务：身份证号码：</w:t>
      </w:r>
    </w:p>
    <w:p>
      <w:pPr>
        <w:pStyle w:val="11"/>
        <w:spacing w:line="500" w:lineRule="exact"/>
        <w:ind w:firstLine="480" w:firstLineChars="200"/>
        <w:rPr>
          <w:highlight w:val="none"/>
          <w:lang w:eastAsia="zh-CN"/>
        </w:rPr>
      </w:pPr>
      <w:r>
        <w:rPr>
          <w:rFonts w:hint="eastAsia"/>
          <w:highlight w:val="none"/>
        </w:rPr>
        <w:t>联系电话：</w:t>
      </w:r>
    </w:p>
    <w:p>
      <w:pPr>
        <w:pStyle w:val="11"/>
        <w:spacing w:line="500" w:lineRule="exact"/>
        <w:ind w:firstLine="480" w:firstLineChars="200"/>
        <w:rPr>
          <w:highlight w:val="none"/>
          <w:lang w:eastAsia="zh-CN"/>
        </w:rPr>
      </w:pPr>
      <w:r>
        <w:rPr>
          <w:rFonts w:hint="eastAsia"/>
          <w:highlight w:val="none"/>
        </w:rPr>
        <w:t>营业执照号码：经济性质：</w:t>
      </w:r>
    </w:p>
    <w:p>
      <w:pPr>
        <w:pStyle w:val="11"/>
        <w:spacing w:line="500" w:lineRule="exact"/>
        <w:ind w:firstLine="480" w:firstLineChars="200"/>
        <w:rPr>
          <w:highlight w:val="none"/>
        </w:rPr>
      </w:pPr>
      <w:r>
        <w:rPr>
          <w:rFonts w:hint="eastAsia"/>
          <w:highlight w:val="none"/>
        </w:rPr>
        <w:t>主营（产</w:t>
      </w:r>
      <w:r>
        <w:rPr>
          <w:rFonts w:hint="eastAsia"/>
          <w:spacing w:val="-120"/>
          <w:highlight w:val="none"/>
        </w:rPr>
        <w:t>）</w:t>
      </w:r>
      <w:r>
        <w:rPr>
          <w:rFonts w:hint="eastAsia"/>
          <w:spacing w:val="-1"/>
          <w:highlight w:val="none"/>
        </w:rPr>
        <w:t>：</w:t>
      </w:r>
    </w:p>
    <w:p>
      <w:pPr>
        <w:pStyle w:val="11"/>
        <w:spacing w:line="500" w:lineRule="exact"/>
        <w:ind w:firstLine="480" w:firstLineChars="200"/>
        <w:rPr>
          <w:highlight w:val="none"/>
        </w:rPr>
      </w:pPr>
      <w:r>
        <w:rPr>
          <w:rFonts w:hint="eastAsia"/>
          <w:highlight w:val="none"/>
        </w:rPr>
        <w:t>兼营（产</w:t>
      </w:r>
      <w:r>
        <w:rPr>
          <w:rFonts w:hint="eastAsia"/>
          <w:spacing w:val="-120"/>
          <w:highlight w:val="none"/>
        </w:rPr>
        <w:t>）</w:t>
      </w:r>
      <w:r>
        <w:rPr>
          <w:rFonts w:hint="eastAsia"/>
          <w:spacing w:val="-1"/>
          <w:highlight w:val="none"/>
        </w:rPr>
        <w:t>：</w:t>
      </w:r>
    </w:p>
    <w:p>
      <w:pPr>
        <w:pStyle w:val="11"/>
        <w:spacing w:line="500" w:lineRule="exact"/>
        <w:ind w:firstLine="480" w:firstLineChars="200"/>
        <w:rPr>
          <w:highlight w:val="none"/>
          <w:lang w:eastAsia="zh-CN"/>
        </w:rPr>
      </w:pPr>
      <w:r>
        <w:rPr>
          <w:rFonts w:hint="eastAsia"/>
          <w:highlight w:val="none"/>
        </w:rPr>
        <w:t>进口物品经营许可证号码：</w:t>
      </w:r>
    </w:p>
    <w:p>
      <w:pPr>
        <w:pStyle w:val="11"/>
        <w:spacing w:line="500" w:lineRule="exact"/>
        <w:ind w:firstLine="480" w:firstLineChars="200"/>
        <w:rPr>
          <w:highlight w:val="none"/>
          <w:lang w:eastAsia="zh-CN"/>
        </w:rPr>
      </w:pPr>
      <w:r>
        <w:rPr>
          <w:rFonts w:hint="eastAsia"/>
          <w:highlight w:val="none"/>
        </w:rPr>
        <w:t>主营：</w:t>
      </w:r>
    </w:p>
    <w:p>
      <w:pPr>
        <w:pStyle w:val="11"/>
        <w:spacing w:line="500" w:lineRule="exact"/>
        <w:ind w:firstLine="476" w:firstLineChars="200"/>
        <w:rPr>
          <w:highlight w:val="none"/>
          <w:lang w:eastAsia="zh-CN"/>
        </w:rPr>
      </w:pPr>
      <w:r>
        <w:rPr>
          <w:rFonts w:hint="eastAsia"/>
          <w:spacing w:val="-1"/>
          <w:highlight w:val="none"/>
        </w:rPr>
        <w:t>兼营：</w:t>
      </w:r>
    </w:p>
    <w:p>
      <w:pPr>
        <w:pStyle w:val="11"/>
        <w:spacing w:before="173"/>
        <w:ind w:left="477"/>
        <w:rPr>
          <w:highlight w:val="none"/>
        </w:rPr>
      </w:pPr>
      <w:r>
        <w:rPr>
          <w:rFonts w:hint="eastAsia"/>
          <w:highlight w:val="none"/>
        </w:rPr>
        <w:t xml:space="preserve">说明：1.内容必须填写真实、清楚、涂改无效，不得转让、买卖。 </w:t>
      </w:r>
    </w:p>
    <w:p>
      <w:pPr>
        <w:pStyle w:val="34"/>
        <w:numPr>
          <w:ilvl w:val="0"/>
          <w:numId w:val="20"/>
        </w:numPr>
        <w:tabs>
          <w:tab w:val="left" w:pos="1440"/>
        </w:tabs>
        <w:spacing w:before="172"/>
        <w:ind w:right="2787"/>
        <w:jc w:val="left"/>
        <w:rPr>
          <w:highlight w:val="none"/>
        </w:rPr>
      </w:pPr>
      <w:r>
        <w:rPr>
          <w:rFonts w:hint="eastAsia"/>
          <w:sz w:val="24"/>
          <w:highlight w:val="none"/>
        </w:rPr>
        <w:t xml:space="preserve">签字代表为法定代表人/负责人，则本表不适用。 </w:t>
      </w:r>
    </w:p>
    <w:p>
      <w:pPr>
        <w:pStyle w:val="11"/>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11"/>
        <w:jc w:val="center"/>
        <w:rPr>
          <w:sz w:val="20"/>
          <w:highlight w:val="none"/>
        </w:rPr>
      </w:pPr>
      <w:r>
        <w:rPr>
          <w:sz w:val="20"/>
          <w:highlight w:val="none"/>
          <w:lang w:val="en-US" w:eastAsia="zh-CN" w:bidi="ar-SA"/>
        </w:rPr>
        <mc:AlternateContent>
          <mc:Choice Requires="wps">
            <w:drawing>
              <wp:inline distT="0" distB="0" distL="114300" distR="114300">
                <wp:extent cx="2524760" cy="1226820"/>
                <wp:effectExtent l="4445" t="4445" r="23495" b="6985"/>
                <wp:docPr id="2" name="文本框 31"/>
                <wp:cNvGraphicFramePr/>
                <a:graphic xmlns:a="http://schemas.openxmlformats.org/drawingml/2006/main">
                  <a:graphicData uri="http://schemas.microsoft.com/office/word/2010/wordprocessingShape">
                    <wps:wsp>
                      <wps:cNvSpPr txBox="true"/>
                      <wps:spPr>
                        <a:xfrm>
                          <a:off x="0" y="0"/>
                          <a:ext cx="2524760" cy="1226820"/>
                        </a:xfrm>
                        <a:prstGeom prst="rect">
                          <a:avLst/>
                        </a:prstGeom>
                        <a:noFill/>
                        <a:ln w="6096" cap="flat" cmpd="sng">
                          <a:solidFill>
                            <a:srgbClr val="000000"/>
                          </a:solidFill>
                          <a:prstDash val="solid"/>
                          <a:miter/>
                          <a:headEnd type="none" w="med" len="med"/>
                          <a:tailEnd type="none" w="med" len="med"/>
                        </a:ln>
                      </wps:spPr>
                      <wps:txbx>
                        <w:txbxContent>
                          <w:p>
                            <w:pPr>
                              <w:pStyle w:val="11"/>
                              <w:jc w:val="center"/>
                            </w:pPr>
                          </w:p>
                          <w:p>
                            <w:pPr>
                              <w:pStyle w:val="11"/>
                              <w:jc w:val="center"/>
                            </w:pPr>
                          </w:p>
                          <w:p>
                            <w:pPr>
                              <w:jc w:val="both"/>
                              <w:rPr>
                                <w:b/>
                                <w:bCs/>
                                <w:szCs w:val="21"/>
                              </w:rPr>
                            </w:pPr>
                          </w:p>
                          <w:p>
                            <w:pPr>
                              <w:jc w:val="center"/>
                              <w:rPr>
                                <w:b/>
                                <w:bCs/>
                              </w:rPr>
                            </w:pPr>
                            <w:r>
                              <w:rPr>
                                <w:rFonts w:hint="eastAsia"/>
                                <w:b/>
                                <w:bCs/>
                                <w:szCs w:val="21"/>
                              </w:rPr>
                              <w:t>被授权代表身份证复印件（正反面）</w:t>
                            </w:r>
                          </w:p>
                        </w:txbxContent>
                      </wps:txbx>
                      <wps:bodyPr lIns="0" tIns="0" rIns="0" bIns="0" upright="true"/>
                    </wps:wsp>
                  </a:graphicData>
                </a:graphic>
              </wp:inline>
            </w:drawing>
          </mc:Choice>
          <mc:Fallback>
            <w:pict>
              <v:shape id="文本框 31" o:spid="_x0000_s1026" o:spt="202" type="#_x0000_t202" style="height:96.6pt;width:198.8pt;" filled="f" stroked="t" coordsize="21600,21600" o:gfxdata="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yS5JH9QAAAAFAQAADwAAAAAAAAAB&#10;ACAAAAA4AAAAZHJzL2Rvd25yZXYueG1sUEsBAhQAFAAAAAgAh07iQGpV8sz+AQAA6wMAAA4AAAAA&#10;AAAAAQAgAAAAOQEAAGRycy9lMm9Eb2MueG1sUEsFBgAAAAAGAAYAWQEAAKkFAAAAAA==&#10;">
                <v:fill on="f" focussize="0,0"/>
                <v:stroke weight="0.48pt" color="#000000" joinstyle="miter"/>
                <v:imagedata o:title=""/>
                <o:lock v:ext="edit" aspectratio="f"/>
                <v:textbox inset="0mm,0mm,0mm,0mm">
                  <w:txbxContent>
                    <w:p>
                      <w:pPr>
                        <w:pStyle w:val="11"/>
                        <w:jc w:val="center"/>
                      </w:pPr>
                    </w:p>
                    <w:p>
                      <w:pPr>
                        <w:pStyle w:val="11"/>
                        <w:jc w:val="center"/>
                      </w:pPr>
                    </w:p>
                    <w:p>
                      <w:pPr>
                        <w:jc w:val="both"/>
                        <w:rPr>
                          <w:b/>
                          <w:bCs/>
                          <w:szCs w:val="21"/>
                        </w:rPr>
                      </w:pPr>
                    </w:p>
                    <w:p>
                      <w:pPr>
                        <w:jc w:val="center"/>
                        <w:rPr>
                          <w:b/>
                          <w:bCs/>
                        </w:rPr>
                      </w:pPr>
                      <w:r>
                        <w:rPr>
                          <w:rFonts w:hint="eastAsia"/>
                          <w:b/>
                          <w:bCs/>
                          <w:szCs w:val="21"/>
                        </w:rPr>
                        <w:t>被授权代表身份证复印件（正反面）</w:t>
                      </w:r>
                    </w:p>
                  </w:txbxContent>
                </v:textbox>
                <w10:wrap type="none"/>
                <w10:anchorlock/>
              </v:shape>
            </w:pict>
          </mc:Fallback>
        </mc:AlternateContent>
      </w:r>
    </w:p>
    <w:p>
      <w:pPr>
        <w:pStyle w:val="11"/>
        <w:jc w:val="center"/>
        <w:rPr>
          <w:sz w:val="20"/>
          <w:highlight w:val="none"/>
        </w:rPr>
      </w:pPr>
    </w:p>
    <w:p>
      <w:pPr>
        <w:pStyle w:val="11"/>
        <w:rPr>
          <w:sz w:val="20"/>
          <w:highlight w:val="none"/>
        </w:rPr>
      </w:pPr>
    </w:p>
    <w:p>
      <w:pPr>
        <w:pStyle w:val="11"/>
        <w:rPr>
          <w:sz w:val="20"/>
          <w:highlight w:val="none"/>
        </w:rPr>
      </w:pPr>
    </w:p>
    <w:p>
      <w:pPr>
        <w:pStyle w:val="11"/>
        <w:rPr>
          <w:sz w:val="20"/>
          <w:highlight w:val="none"/>
        </w:rPr>
      </w:pPr>
    </w:p>
    <w:p>
      <w:pPr>
        <w:pStyle w:val="7"/>
        <w:numPr>
          <w:ilvl w:val="0"/>
          <w:numId w:val="20"/>
        </w:numPr>
        <w:tabs>
          <w:tab w:val="left" w:pos="902"/>
        </w:tabs>
        <w:ind w:left="901" w:hanging="424"/>
        <w:jc w:val="left"/>
        <w:rPr>
          <w:sz w:val="26"/>
          <w:highlight w:val="none"/>
        </w:rPr>
      </w:pPr>
      <w:r>
        <w:rPr>
          <w:rFonts w:hint="eastAsia"/>
          <w:highlight w:val="none"/>
        </w:rPr>
        <w:t>关于资格的声明函</w:t>
      </w:r>
    </w:p>
    <w:p>
      <w:pPr>
        <w:spacing w:before="199"/>
        <w:ind w:left="477"/>
        <w:rPr>
          <w:sz w:val="28"/>
          <w:highlight w:val="none"/>
        </w:rPr>
      </w:pPr>
    </w:p>
    <w:p>
      <w:pPr>
        <w:pStyle w:val="11"/>
        <w:spacing w:before="17"/>
        <w:ind w:left="477"/>
        <w:rPr>
          <w:sz w:val="20"/>
          <w:highlight w:val="none"/>
        </w:rPr>
      </w:pPr>
      <w:r>
        <w:rPr>
          <w:rFonts w:hint="eastAsia"/>
          <w:highlight w:val="none"/>
        </w:rPr>
        <w:t>致：（采购人</w:t>
      </w:r>
      <w:r>
        <w:rPr>
          <w:highlight w:val="none"/>
        </w:rPr>
        <w:t>/</w:t>
      </w:r>
      <w:r>
        <w:rPr>
          <w:rFonts w:hint="eastAsia"/>
          <w:highlight w:val="none"/>
        </w:rPr>
        <w:t>采购代理机构）</w:t>
      </w:r>
    </w:p>
    <w:p>
      <w:pPr>
        <w:pStyle w:val="11"/>
        <w:spacing w:before="6"/>
        <w:rPr>
          <w:sz w:val="18"/>
          <w:highlight w:val="none"/>
        </w:rPr>
      </w:pPr>
    </w:p>
    <w:p>
      <w:pPr>
        <w:pStyle w:val="11"/>
        <w:spacing w:line="400" w:lineRule="exact"/>
        <w:ind w:firstLine="480" w:firstLineChars="200"/>
        <w:rPr>
          <w:highlight w:val="none"/>
        </w:rPr>
      </w:pPr>
      <w:r>
        <w:rPr>
          <w:rFonts w:hint="eastAsia"/>
          <w:highlight w:val="none"/>
        </w:rPr>
        <w:t>关于贵方项目名称:（项目编号：）</w:t>
      </w:r>
      <w:r>
        <w:rPr>
          <w:rFonts w:hint="eastAsia"/>
          <w:highlight w:val="none"/>
          <w:lang w:val="en-US" w:eastAsia="zh-CN"/>
        </w:rPr>
        <w:t>采购</w:t>
      </w:r>
      <w:r>
        <w:rPr>
          <w:rFonts w:hint="eastAsia"/>
          <w:highlight w:val="none"/>
        </w:rPr>
        <w:t>邀请，本签字人愿意参加响应，提供</w:t>
      </w:r>
      <w:r>
        <w:rPr>
          <w:rFonts w:hint="eastAsia"/>
          <w:highlight w:val="none"/>
          <w:lang w:val="en-US" w:eastAsia="zh-CN"/>
        </w:rPr>
        <w:t>采购</w:t>
      </w:r>
      <w:r>
        <w:rPr>
          <w:rFonts w:hint="eastAsia"/>
          <w:highlight w:val="none"/>
        </w:rPr>
        <w:t xml:space="preserve">文件中规定的货物及服务、工程，并证明提交的下列文件和说明是准确的和真实的。 </w:t>
      </w:r>
    </w:p>
    <w:p>
      <w:pPr>
        <w:pStyle w:val="11"/>
        <w:spacing w:line="400" w:lineRule="exact"/>
        <w:ind w:firstLine="480" w:firstLineChars="200"/>
        <w:rPr>
          <w:highlight w:val="none"/>
        </w:rPr>
      </w:pPr>
      <w:r>
        <w:rPr>
          <w:rFonts w:hint="eastAsia"/>
          <w:highlight w:val="none"/>
        </w:rPr>
        <w:t xml:space="preserve">1、营业执照（或事业法人登记证）副本； </w:t>
      </w:r>
    </w:p>
    <w:p>
      <w:pPr>
        <w:pStyle w:val="11"/>
        <w:spacing w:line="400" w:lineRule="exact"/>
        <w:ind w:firstLine="480" w:firstLineChars="200"/>
        <w:rPr>
          <w:highlight w:val="none"/>
        </w:rPr>
      </w:pPr>
      <w:r>
        <w:rPr>
          <w:rFonts w:hint="eastAsia"/>
          <w:highlight w:val="none"/>
          <w:lang w:val="en-US" w:eastAsia="zh-CN"/>
        </w:rPr>
        <w:t>2、</w:t>
      </w:r>
      <w:r>
        <w:rPr>
          <w:rFonts w:hint="eastAsia"/>
          <w:highlight w:val="none"/>
        </w:rPr>
        <w:t xml:space="preserve">法定代表人证明书或授权委托书；  </w:t>
      </w:r>
    </w:p>
    <w:p>
      <w:pPr>
        <w:pStyle w:val="11"/>
        <w:spacing w:line="400" w:lineRule="exact"/>
        <w:ind w:firstLine="480" w:firstLineChars="200"/>
        <w:rPr>
          <w:highlight w:val="none"/>
        </w:rPr>
      </w:pPr>
      <w:r>
        <w:rPr>
          <w:rFonts w:hint="eastAsia"/>
          <w:highlight w:val="none"/>
          <w:lang w:val="en-US" w:eastAsia="zh-CN"/>
        </w:rPr>
        <w:t>3</w:t>
      </w:r>
      <w:r>
        <w:rPr>
          <w:rFonts w:hint="eastAsia"/>
          <w:highlight w:val="none"/>
        </w:rPr>
        <w:t xml:space="preserve">、参加政府采购活动前 3 年内在经营活动中没有重大违法记录的书面声明； </w:t>
      </w:r>
    </w:p>
    <w:p>
      <w:pPr>
        <w:pStyle w:val="11"/>
        <w:spacing w:line="400" w:lineRule="exact"/>
        <w:ind w:firstLine="480" w:firstLineChars="200"/>
        <w:rPr>
          <w:highlight w:val="none"/>
        </w:rPr>
      </w:pPr>
      <w:r>
        <w:rPr>
          <w:rFonts w:hint="eastAsia"/>
          <w:highlight w:val="none"/>
          <w:lang w:val="en-US" w:eastAsia="zh-CN"/>
        </w:rPr>
        <w:t>4</w:t>
      </w:r>
      <w:r>
        <w:rPr>
          <w:rFonts w:hint="eastAsia"/>
          <w:highlight w:val="none"/>
        </w:rPr>
        <w:t>、未被列入“信用中国”网站(www.creditchina.gov.cn)“</w:t>
      </w:r>
      <w:r>
        <w:rPr>
          <w:rFonts w:hint="eastAsia"/>
          <w:spacing w:val="-1"/>
          <w:highlight w:val="none"/>
        </w:rPr>
        <w:t>记录失信被执行人或重大税</w:t>
      </w:r>
      <w:r>
        <w:rPr>
          <w:rFonts w:hint="eastAsia"/>
          <w:spacing w:val="-5"/>
          <w:highlight w:val="none"/>
        </w:rPr>
        <w:t>收违法案件当事人名单或政府采购严重违法失信行为”记录名单及不处于中国政府采购</w:t>
      </w:r>
      <w:r>
        <w:rPr>
          <w:rFonts w:hint="eastAsia"/>
          <w:highlight w:val="none"/>
        </w:rPr>
        <w:t>网(www.ccgp.gov.cn</w:t>
      </w:r>
      <w:r>
        <w:rPr>
          <w:rFonts w:hint="eastAsia"/>
          <w:spacing w:val="-1"/>
          <w:highlight w:val="none"/>
        </w:rPr>
        <w:t>)“政府采购严重违法失信行为信息记录”中的禁止参加政府采购</w:t>
      </w:r>
      <w:r>
        <w:rPr>
          <w:rFonts w:hint="eastAsia"/>
          <w:highlight w:val="none"/>
        </w:rPr>
        <w:t xml:space="preserve">活动期间的书面声明； </w:t>
      </w:r>
    </w:p>
    <w:p>
      <w:pPr>
        <w:pStyle w:val="11"/>
        <w:spacing w:line="400" w:lineRule="exact"/>
        <w:ind w:firstLine="480" w:firstLineChars="200"/>
        <w:rPr>
          <w:highlight w:val="none"/>
        </w:rPr>
      </w:pPr>
      <w:r>
        <w:rPr>
          <w:rFonts w:hint="eastAsia"/>
          <w:highlight w:val="none"/>
          <w:lang w:val="en-US" w:eastAsia="zh-CN"/>
        </w:rPr>
        <w:t>5</w:t>
      </w:r>
      <w:r>
        <w:rPr>
          <w:rFonts w:hint="eastAsia"/>
          <w:spacing w:val="-1"/>
          <w:highlight w:val="none"/>
        </w:rPr>
        <w:t>、单位负责人为同一人或者存在直接控股、管理关系的不同供应商，不得参加同一合同</w:t>
      </w:r>
      <w:r>
        <w:rPr>
          <w:rFonts w:hint="eastAsia"/>
          <w:spacing w:val="-8"/>
          <w:highlight w:val="none"/>
        </w:rPr>
        <w:t>项下的政府采购活动。除单一来源采购项目外，为采购项目提供整体设计、规范编制或</w:t>
      </w:r>
      <w:r>
        <w:rPr>
          <w:rFonts w:hint="eastAsia"/>
          <w:highlight w:val="none"/>
        </w:rPr>
        <w:t xml:space="preserve">者项目管理、监理、检测等服务的供应商，不得再参加该采购项目的其他采购活动； </w:t>
      </w:r>
    </w:p>
    <w:p>
      <w:pPr>
        <w:pStyle w:val="11"/>
        <w:spacing w:line="400" w:lineRule="exact"/>
        <w:ind w:firstLine="480" w:firstLineChars="200"/>
        <w:rPr>
          <w:highlight w:val="none"/>
        </w:rPr>
      </w:pPr>
      <w:r>
        <w:rPr>
          <w:rFonts w:hint="eastAsia"/>
          <w:highlight w:val="none"/>
          <w:lang w:val="en-US" w:eastAsia="zh-CN"/>
        </w:rPr>
        <w:t>6</w:t>
      </w:r>
      <w:r>
        <w:rPr>
          <w:rFonts w:hint="eastAsia"/>
          <w:highlight w:val="none"/>
        </w:rPr>
        <w:t xml:space="preserve">、具备法律、行政法规规定的其他条件的证明材料。 </w:t>
      </w:r>
    </w:p>
    <w:p>
      <w:pPr>
        <w:pStyle w:val="11"/>
        <w:spacing w:line="400" w:lineRule="exact"/>
        <w:ind w:firstLine="480" w:firstLineChars="200"/>
        <w:rPr>
          <w:highlight w:val="none"/>
        </w:rPr>
      </w:pPr>
      <w:r>
        <w:rPr>
          <w:rFonts w:hint="eastAsia"/>
          <w:highlight w:val="none"/>
        </w:rPr>
        <w:t xml:space="preserve">（以上相关证明文件附后） </w:t>
      </w:r>
    </w:p>
    <w:p>
      <w:pPr>
        <w:pStyle w:val="11"/>
        <w:spacing w:line="400" w:lineRule="exact"/>
        <w:ind w:firstLine="480" w:firstLineChars="200"/>
        <w:rPr>
          <w:highlight w:val="none"/>
        </w:rPr>
      </w:pPr>
      <w:r>
        <w:rPr>
          <w:rFonts w:hint="eastAsia"/>
          <w:highlight w:val="none"/>
        </w:rPr>
        <w:t xml:space="preserve">本单位保证全部申请文件和问题的回答是真实和有效的，并对所提供资料的真实性负责。 </w:t>
      </w:r>
    </w:p>
    <w:p>
      <w:pPr>
        <w:pStyle w:val="11"/>
        <w:spacing w:before="81"/>
        <w:ind w:left="898"/>
        <w:rPr>
          <w:highlight w:val="none"/>
        </w:rPr>
      </w:pPr>
    </w:p>
    <w:p>
      <w:pPr>
        <w:pStyle w:val="11"/>
        <w:spacing w:line="360" w:lineRule="auto"/>
        <w:rPr>
          <w:highlight w:val="none"/>
        </w:rPr>
      </w:pPr>
      <w:r>
        <w:rPr>
          <w:rFonts w:hint="eastAsia"/>
          <w:highlight w:val="none"/>
        </w:rPr>
        <w:t>供应商法定代表人（或法定代表人授权代表）签字：</w:t>
      </w:r>
    </w:p>
    <w:p>
      <w:pPr>
        <w:pStyle w:val="11"/>
        <w:spacing w:line="360" w:lineRule="auto"/>
        <w:rPr>
          <w:highlight w:val="none"/>
        </w:rPr>
      </w:pPr>
      <w:r>
        <w:rPr>
          <w:rFonts w:hint="eastAsia"/>
          <w:highlight w:val="none"/>
        </w:rPr>
        <w:t>供应商名称（签章</w:t>
      </w:r>
      <w:r>
        <w:rPr>
          <w:rFonts w:hint="eastAsia"/>
          <w:spacing w:val="-120"/>
          <w:highlight w:val="none"/>
        </w:rPr>
        <w:t>）</w:t>
      </w:r>
      <w:r>
        <w:rPr>
          <w:rFonts w:hint="eastAsia"/>
          <w:highlight w:val="none"/>
        </w:rPr>
        <w:t>：</w:t>
      </w:r>
    </w:p>
    <w:p>
      <w:pPr>
        <w:pStyle w:val="11"/>
        <w:spacing w:line="360" w:lineRule="auto"/>
        <w:rPr>
          <w:highlight w:val="none"/>
        </w:rPr>
      </w:pPr>
      <w:r>
        <w:rPr>
          <w:rFonts w:hint="eastAsia"/>
          <w:highlight w:val="none"/>
        </w:rPr>
        <w:t>日 期 ：年 月</w:t>
      </w:r>
      <w:r>
        <w:rPr>
          <w:rFonts w:hint="eastAsia"/>
          <w:spacing w:val="59"/>
          <w:highlight w:val="none"/>
        </w:rPr>
        <w:t xml:space="preserve"> 日</w:t>
      </w:r>
    </w:p>
    <w:p>
      <w:pPr>
        <w:pStyle w:val="11"/>
        <w:spacing w:before="78"/>
        <w:ind w:left="477"/>
        <w:rPr>
          <w:highlight w:val="none"/>
        </w:rPr>
      </w:pPr>
    </w:p>
    <w:p>
      <w:pPr>
        <w:rPr>
          <w:highlight w:val="none"/>
        </w:rPr>
        <w:sectPr>
          <w:pgSz w:w="11910" w:h="16840"/>
          <w:pgMar w:top="1440" w:right="1080" w:bottom="1440" w:left="1080" w:header="0" w:footer="796" w:gutter="0"/>
          <w:cols w:space="720" w:num="1"/>
        </w:sectPr>
      </w:pPr>
    </w:p>
    <w:p>
      <w:pPr>
        <w:pStyle w:val="11"/>
        <w:rPr>
          <w:b/>
          <w:bCs/>
          <w:sz w:val="28"/>
          <w:highlight w:val="none"/>
        </w:rPr>
      </w:pPr>
    </w:p>
    <w:p>
      <w:pPr>
        <w:pStyle w:val="11"/>
        <w:rPr>
          <w:b/>
          <w:bCs/>
          <w:sz w:val="28"/>
          <w:highlight w:val="none"/>
        </w:rPr>
      </w:pPr>
    </w:p>
    <w:p>
      <w:pPr>
        <w:pStyle w:val="11"/>
        <w:rPr>
          <w:b/>
          <w:bCs/>
          <w:sz w:val="28"/>
          <w:highlight w:val="none"/>
        </w:rPr>
      </w:pPr>
    </w:p>
    <w:p>
      <w:pPr>
        <w:pStyle w:val="11"/>
        <w:rPr>
          <w:b/>
          <w:bCs/>
          <w:sz w:val="28"/>
          <w:highlight w:val="none"/>
        </w:rPr>
      </w:pPr>
    </w:p>
    <w:p>
      <w:pPr>
        <w:pStyle w:val="11"/>
        <w:rPr>
          <w:b/>
          <w:bCs/>
          <w:sz w:val="28"/>
          <w:highlight w:val="none"/>
        </w:rPr>
      </w:pPr>
    </w:p>
    <w:p>
      <w:pPr>
        <w:pStyle w:val="11"/>
        <w:rPr>
          <w:b/>
          <w:bCs/>
          <w:sz w:val="28"/>
          <w:highlight w:val="none"/>
        </w:rPr>
      </w:pPr>
    </w:p>
    <w:p>
      <w:pPr>
        <w:pStyle w:val="11"/>
        <w:rPr>
          <w:b/>
          <w:bCs/>
          <w:sz w:val="28"/>
          <w:highlight w:val="none"/>
        </w:rPr>
      </w:pPr>
    </w:p>
    <w:p>
      <w:pPr>
        <w:pStyle w:val="11"/>
        <w:rPr>
          <w:b/>
          <w:bCs/>
          <w:sz w:val="28"/>
          <w:highlight w:val="none"/>
        </w:rPr>
      </w:pPr>
    </w:p>
    <w:p>
      <w:pPr>
        <w:rPr>
          <w:b/>
          <w:bCs/>
          <w:sz w:val="28"/>
          <w:highlight w:val="none"/>
        </w:rPr>
      </w:pPr>
      <w:r>
        <w:rPr>
          <w:rFonts w:hint="eastAsia"/>
          <w:b/>
          <w:bCs/>
          <w:sz w:val="28"/>
          <w:highlight w:val="none"/>
        </w:rPr>
        <w:br w:type="page"/>
      </w:r>
    </w:p>
    <w:p>
      <w:pPr>
        <w:pStyle w:val="11"/>
        <w:rPr>
          <w:b/>
          <w:sz w:val="28"/>
          <w:highlight w:val="none"/>
        </w:rPr>
      </w:pPr>
      <w:r>
        <w:rPr>
          <w:rFonts w:hint="eastAsia"/>
          <w:b/>
          <w:bCs/>
          <w:sz w:val="28"/>
          <w:highlight w:val="none"/>
        </w:rPr>
        <w:t>4. 政策适用性说明</w:t>
      </w:r>
      <w:bookmarkStart w:id="491" w:name="_Toc29520"/>
      <w:bookmarkStart w:id="492" w:name="_Toc26456"/>
    </w:p>
    <w:bookmarkEnd w:id="491"/>
    <w:bookmarkEnd w:id="492"/>
    <w:p>
      <w:pPr>
        <w:widowControl/>
        <w:autoSpaceDE/>
        <w:autoSpaceDN/>
        <w:spacing w:line="588" w:lineRule="exact"/>
        <w:jc w:val="center"/>
        <w:rPr>
          <w:b/>
          <w:spacing w:val="6"/>
          <w:sz w:val="24"/>
          <w:szCs w:val="24"/>
          <w:highlight w:val="none"/>
        </w:rPr>
      </w:pPr>
      <w:bookmarkStart w:id="493" w:name="_Toc2359_WPSOffice_Level1"/>
      <w:bookmarkStart w:id="494" w:name="_Toc4033_WPSOffice_Level1"/>
      <w:r>
        <w:rPr>
          <w:rFonts w:hint="eastAsia"/>
          <w:b/>
          <w:spacing w:val="6"/>
          <w:sz w:val="24"/>
          <w:szCs w:val="24"/>
          <w:highlight w:val="none"/>
        </w:rPr>
        <w:t>中 小 企 业 声 明 函</w:t>
      </w:r>
      <w:bookmarkEnd w:id="493"/>
      <w:bookmarkEnd w:id="494"/>
    </w:p>
    <w:p>
      <w:pPr>
        <w:pStyle w:val="49"/>
        <w:rPr>
          <w:rFonts w:hAnsi="宋体"/>
          <w:color w:val="auto"/>
          <w:highlight w:val="none"/>
        </w:rPr>
      </w:pPr>
    </w:p>
    <w:p>
      <w:pPr>
        <w:widowControl/>
        <w:autoSpaceDE/>
        <w:autoSpaceDN/>
        <w:spacing w:line="360" w:lineRule="auto"/>
        <w:ind w:firstLine="504" w:firstLineChars="200"/>
        <w:rPr>
          <w:spacing w:val="6"/>
          <w:sz w:val="24"/>
          <w:szCs w:val="24"/>
          <w:highlight w:val="none"/>
        </w:rPr>
      </w:pPr>
      <w:r>
        <w:rPr>
          <w:rFonts w:hint="eastAsia"/>
          <w:spacing w:val="6"/>
          <w:sz w:val="24"/>
          <w:szCs w:val="24"/>
          <w:highlight w:val="none"/>
        </w:rPr>
        <w:t>本公司郑重声明，根据《政府采购促进中小企业发展暂行办法》（财库〔2011〕181 号）、《关于政府采购支持监狱企业发展有关问题的通知（财库〔2014〕68 号）》和根据《关于促进残疾人就业政府采购政策的通知（财库〔2017〕141号）》的规定，本公司为（请填写：中型、小型、微型）企业。即，本公司同时满足以下条件：</w:t>
      </w:r>
    </w:p>
    <w:p>
      <w:pPr>
        <w:widowControl/>
        <w:autoSpaceDE/>
        <w:autoSpaceDN/>
        <w:spacing w:line="360" w:lineRule="auto"/>
        <w:ind w:firstLine="504" w:firstLineChars="200"/>
        <w:rPr>
          <w:spacing w:val="6"/>
          <w:sz w:val="24"/>
          <w:szCs w:val="24"/>
          <w:highlight w:val="none"/>
        </w:rPr>
      </w:pPr>
      <w:r>
        <w:rPr>
          <w:rFonts w:hint="eastAsia"/>
          <w:spacing w:val="6"/>
          <w:sz w:val="24"/>
          <w:szCs w:val="24"/>
          <w:highlight w:val="none"/>
        </w:rPr>
        <w:t>1、根据《工业和信息化部、国家统计局、国家发展和改革委员会、财政部关于印发中小企业划型标准规定的通知》（工信部联企业[2011]300号）和《国家统计局关于印发统计上大中小微企业划分办法（2017）的通知》（国统字﹝2017﹞213 号）规定的划分标准，本公司为（请填写：中型、小型、微型）企业。</w:t>
      </w:r>
    </w:p>
    <w:p>
      <w:pPr>
        <w:widowControl/>
        <w:autoSpaceDE/>
        <w:autoSpaceDN/>
        <w:spacing w:line="360" w:lineRule="auto"/>
        <w:ind w:firstLine="504" w:firstLineChars="200"/>
        <w:rPr>
          <w:spacing w:val="6"/>
          <w:sz w:val="24"/>
          <w:szCs w:val="24"/>
          <w:highlight w:val="none"/>
        </w:rPr>
      </w:pPr>
      <w:r>
        <w:rPr>
          <w:rFonts w:hint="eastAsia"/>
          <w:spacing w:val="6"/>
          <w:sz w:val="24"/>
          <w:szCs w:val="24"/>
          <w:highlight w:val="none"/>
        </w:rPr>
        <w:t>2、本公司参加（采购人名称）单位的（项目名称）采购活动提供本企业制造的货物，由本企业承担工程、提供服务，或者提供其他（请填写：中型、小型、微型）企业制造的货物。本条所称货物不包括使用大型企业注册商标的货物。</w:t>
      </w:r>
    </w:p>
    <w:p>
      <w:pPr>
        <w:widowControl/>
        <w:autoSpaceDE/>
        <w:autoSpaceDN/>
        <w:spacing w:line="360" w:lineRule="auto"/>
        <w:ind w:firstLine="504" w:firstLineChars="200"/>
        <w:rPr>
          <w:spacing w:val="6"/>
          <w:sz w:val="24"/>
          <w:szCs w:val="24"/>
          <w:highlight w:val="none"/>
        </w:rPr>
      </w:pPr>
      <w:r>
        <w:rPr>
          <w:rFonts w:hint="eastAsia"/>
          <w:spacing w:val="6"/>
          <w:sz w:val="24"/>
          <w:szCs w:val="24"/>
          <w:highlight w:val="none"/>
        </w:rPr>
        <w:t>本公司对上述声明的真实性负责。如有虚假，将依法承担相应责任。</w:t>
      </w:r>
    </w:p>
    <w:p>
      <w:pPr>
        <w:widowControl/>
        <w:autoSpaceDE/>
        <w:autoSpaceDN/>
        <w:spacing w:line="360" w:lineRule="auto"/>
        <w:rPr>
          <w:spacing w:val="6"/>
          <w:sz w:val="24"/>
          <w:szCs w:val="24"/>
          <w:highlight w:val="none"/>
        </w:rPr>
      </w:pPr>
    </w:p>
    <w:p>
      <w:pPr>
        <w:widowControl/>
        <w:tabs>
          <w:tab w:val="left" w:pos="4860"/>
        </w:tabs>
        <w:autoSpaceDE/>
        <w:autoSpaceDN/>
        <w:spacing w:line="360" w:lineRule="auto"/>
        <w:ind w:right="791"/>
        <w:jc w:val="both"/>
        <w:rPr>
          <w:spacing w:val="6"/>
          <w:sz w:val="24"/>
          <w:szCs w:val="24"/>
          <w:highlight w:val="none"/>
          <w:u w:val="single"/>
        </w:rPr>
      </w:pPr>
      <w:r>
        <w:rPr>
          <w:rFonts w:hint="eastAsia"/>
          <w:spacing w:val="6"/>
          <w:sz w:val="24"/>
          <w:szCs w:val="24"/>
          <w:highlight w:val="none"/>
        </w:rPr>
        <w:t>企业名称（盖章）：</w:t>
      </w:r>
    </w:p>
    <w:p>
      <w:pPr>
        <w:widowControl/>
        <w:tabs>
          <w:tab w:val="left" w:pos="4860"/>
        </w:tabs>
        <w:autoSpaceDE/>
        <w:autoSpaceDN/>
        <w:spacing w:line="360" w:lineRule="auto"/>
        <w:ind w:right="791"/>
        <w:jc w:val="both"/>
        <w:rPr>
          <w:spacing w:val="6"/>
          <w:sz w:val="24"/>
          <w:szCs w:val="24"/>
          <w:highlight w:val="none"/>
        </w:rPr>
      </w:pPr>
      <w:r>
        <w:rPr>
          <w:rFonts w:hint="eastAsia"/>
          <w:spacing w:val="6"/>
          <w:sz w:val="24"/>
          <w:szCs w:val="24"/>
          <w:highlight w:val="none"/>
        </w:rPr>
        <w:t xml:space="preserve">日  期：     </w:t>
      </w:r>
    </w:p>
    <w:p>
      <w:pPr>
        <w:pStyle w:val="11"/>
        <w:spacing w:line="360" w:lineRule="auto"/>
        <w:ind w:left="119" w:right="414"/>
        <w:jc w:val="both"/>
        <w:rPr>
          <w:highlight w:val="none"/>
        </w:rPr>
      </w:pPr>
      <w:r>
        <w:rPr>
          <w:rFonts w:hint="eastAsia"/>
          <w:highlight w:val="none"/>
          <w:lang w:val="en-US" w:eastAsia="zh-CN"/>
        </w:rPr>
        <w:t>1</w:t>
      </w:r>
      <w:r>
        <w:rPr>
          <w:rFonts w:hint="eastAsia"/>
          <w:highlight w:val="none"/>
        </w:rPr>
        <w:t xml:space="preserve">、如果供应商或其代理产品制造商不是中小微企业的，可不提供该中小企业声明函。 </w:t>
      </w:r>
    </w:p>
    <w:p>
      <w:pPr>
        <w:keepNext/>
        <w:keepLines/>
        <w:widowControl/>
        <w:tabs>
          <w:tab w:val="left" w:pos="864"/>
        </w:tabs>
        <w:autoSpaceDE/>
        <w:autoSpaceDN/>
        <w:snapToGrid w:val="0"/>
        <w:spacing w:before="280" w:after="290" w:line="400" w:lineRule="exact"/>
        <w:outlineLvl w:val="3"/>
        <w:rPr>
          <w:bCs/>
          <w:sz w:val="24"/>
          <w:szCs w:val="24"/>
          <w:highlight w:val="none"/>
        </w:rPr>
      </w:pPr>
      <w:r>
        <w:rPr>
          <w:rFonts w:hint="eastAsia"/>
          <w:bCs/>
          <w:sz w:val="24"/>
          <w:szCs w:val="24"/>
          <w:highlight w:val="none"/>
        </w:rPr>
        <w:t xml:space="preserve">附件： 残疾人福利性单位声明函（可选） </w:t>
      </w:r>
    </w:p>
    <w:p>
      <w:pPr>
        <w:keepNext/>
        <w:keepLines/>
        <w:widowControl/>
        <w:tabs>
          <w:tab w:val="left" w:pos="864"/>
        </w:tabs>
        <w:autoSpaceDE/>
        <w:autoSpaceDN/>
        <w:snapToGrid w:val="0"/>
        <w:spacing w:before="280" w:after="290" w:line="360" w:lineRule="auto"/>
        <w:ind w:firstLine="475" w:firstLineChars="198"/>
        <w:outlineLvl w:val="3"/>
        <w:rPr>
          <w:bCs/>
          <w:sz w:val="24"/>
          <w:szCs w:val="24"/>
          <w:highlight w:val="none"/>
        </w:rPr>
      </w:pPr>
    </w:p>
    <w:p>
      <w:pPr>
        <w:keepNext/>
        <w:keepLines/>
        <w:widowControl/>
        <w:tabs>
          <w:tab w:val="left" w:pos="864"/>
        </w:tabs>
        <w:autoSpaceDE/>
        <w:autoSpaceDN/>
        <w:snapToGrid w:val="0"/>
        <w:spacing w:before="280" w:after="290" w:line="360" w:lineRule="auto"/>
        <w:ind w:firstLine="475" w:firstLineChars="198"/>
        <w:outlineLvl w:val="3"/>
        <w:rPr>
          <w:bCs/>
          <w:sz w:val="24"/>
          <w:szCs w:val="24"/>
          <w:highlight w:val="none"/>
        </w:rPr>
      </w:pPr>
      <w:r>
        <w:rPr>
          <w:rFonts w:hint="eastAsia"/>
          <w:bCs/>
          <w:sz w:val="24"/>
          <w:szCs w:val="24"/>
          <w:highlight w:val="none"/>
        </w:rPr>
        <w:t>本公司郑重声明，根据《财政部民政部中国残疾人联合会关于促进残疾人就业政府采购政策的通知》（财库〔2017〕141 号）的规定，本公司为符合条件的残疾人福 利 性 单 位 ， 本 公 司 参 加（采购人名称）单位的 （采购项目</w:t>
      </w:r>
      <w:r>
        <w:rPr>
          <w:rFonts w:hint="eastAsia"/>
          <w:spacing w:val="6"/>
          <w:sz w:val="24"/>
          <w:szCs w:val="24"/>
          <w:highlight w:val="none"/>
        </w:rPr>
        <w:t>名称</w:t>
      </w:r>
      <w:r>
        <w:rPr>
          <w:rFonts w:hint="eastAsia"/>
          <w:bCs/>
          <w:sz w:val="24"/>
          <w:szCs w:val="24"/>
          <w:highlight w:val="none"/>
        </w:rPr>
        <w:t xml:space="preserve">）（ 采购项目编号 ：）采购活动提供本公司制造的货物（由本公司承担的工程/提供的服务），或者提供其他残疾人福利性单位制造的货物（不包括使用非残疾人福利性企业注册商标的货物）。  </w:t>
      </w:r>
    </w:p>
    <w:p>
      <w:pPr>
        <w:keepNext/>
        <w:keepLines/>
        <w:widowControl/>
        <w:tabs>
          <w:tab w:val="left" w:pos="864"/>
        </w:tabs>
        <w:autoSpaceDE/>
        <w:autoSpaceDN/>
        <w:snapToGrid w:val="0"/>
        <w:spacing w:before="280" w:after="290" w:line="360" w:lineRule="auto"/>
        <w:ind w:firstLine="480" w:firstLineChars="200"/>
        <w:outlineLvl w:val="3"/>
        <w:rPr>
          <w:bCs/>
          <w:sz w:val="24"/>
          <w:szCs w:val="24"/>
          <w:highlight w:val="none"/>
        </w:rPr>
      </w:pPr>
      <w:r>
        <w:rPr>
          <w:rFonts w:hint="eastAsia"/>
          <w:bCs/>
          <w:sz w:val="24"/>
          <w:szCs w:val="24"/>
          <w:highlight w:val="none"/>
        </w:rPr>
        <w:t xml:space="preserve">本公司对上述声明的真实性负责。如有虚假，将依法承担相应责任。 </w:t>
      </w:r>
    </w:p>
    <w:p>
      <w:pPr>
        <w:keepNext/>
        <w:keepLines/>
        <w:widowControl/>
        <w:tabs>
          <w:tab w:val="left" w:pos="864"/>
        </w:tabs>
        <w:autoSpaceDE/>
        <w:autoSpaceDN/>
        <w:snapToGrid w:val="0"/>
        <w:spacing w:before="280" w:after="290" w:line="400" w:lineRule="exact"/>
        <w:rPr>
          <w:bCs/>
          <w:sz w:val="24"/>
          <w:szCs w:val="24"/>
          <w:highlight w:val="none"/>
        </w:rPr>
      </w:pPr>
    </w:p>
    <w:p>
      <w:pPr>
        <w:keepNext/>
        <w:keepLines/>
        <w:widowControl/>
        <w:tabs>
          <w:tab w:val="left" w:pos="864"/>
        </w:tabs>
        <w:autoSpaceDE/>
        <w:autoSpaceDN/>
        <w:snapToGrid w:val="0"/>
        <w:spacing w:before="280" w:after="290" w:line="400" w:lineRule="exact"/>
        <w:outlineLvl w:val="3"/>
        <w:rPr>
          <w:bCs/>
          <w:sz w:val="24"/>
          <w:szCs w:val="24"/>
          <w:highlight w:val="none"/>
        </w:rPr>
      </w:pPr>
      <w:r>
        <w:rPr>
          <w:rFonts w:hint="eastAsia"/>
          <w:bCs/>
          <w:sz w:val="24"/>
          <w:szCs w:val="24"/>
          <w:highlight w:val="none"/>
        </w:rPr>
        <w:t xml:space="preserve">供应商法定代表人（或法定代表人授权代表）签字： </w:t>
      </w:r>
    </w:p>
    <w:p>
      <w:pPr>
        <w:keepNext/>
        <w:keepLines/>
        <w:widowControl/>
        <w:tabs>
          <w:tab w:val="left" w:pos="864"/>
        </w:tabs>
        <w:autoSpaceDE/>
        <w:autoSpaceDN/>
        <w:snapToGrid w:val="0"/>
        <w:spacing w:before="280" w:after="290" w:line="400" w:lineRule="exact"/>
        <w:outlineLvl w:val="3"/>
        <w:rPr>
          <w:bCs/>
          <w:sz w:val="24"/>
          <w:szCs w:val="24"/>
          <w:highlight w:val="none"/>
        </w:rPr>
      </w:pPr>
      <w:r>
        <w:rPr>
          <w:rFonts w:hint="eastAsia"/>
          <w:bCs/>
          <w:sz w:val="24"/>
          <w:szCs w:val="24"/>
          <w:highlight w:val="none"/>
        </w:rPr>
        <w:t xml:space="preserve">供应商名称（签章）：                         </w:t>
      </w:r>
    </w:p>
    <w:p>
      <w:pPr>
        <w:keepNext/>
        <w:keepLines/>
        <w:widowControl/>
        <w:tabs>
          <w:tab w:val="left" w:pos="864"/>
        </w:tabs>
        <w:autoSpaceDE/>
        <w:autoSpaceDN/>
        <w:snapToGrid w:val="0"/>
        <w:spacing w:before="280" w:after="290" w:line="400" w:lineRule="exact"/>
        <w:outlineLvl w:val="3"/>
        <w:rPr>
          <w:bCs/>
          <w:sz w:val="24"/>
          <w:szCs w:val="24"/>
          <w:highlight w:val="none"/>
        </w:rPr>
      </w:pPr>
      <w:r>
        <w:rPr>
          <w:rFonts w:hint="eastAsia"/>
          <w:bCs/>
          <w:sz w:val="24"/>
          <w:szCs w:val="24"/>
          <w:highlight w:val="none"/>
        </w:rPr>
        <w:t xml:space="preserve">日 期 ：   年    月    日 </w:t>
      </w:r>
    </w:p>
    <w:p>
      <w:pPr>
        <w:keepNext/>
        <w:keepLines/>
        <w:widowControl/>
        <w:tabs>
          <w:tab w:val="left" w:pos="864"/>
        </w:tabs>
        <w:autoSpaceDE/>
        <w:autoSpaceDN/>
        <w:snapToGrid w:val="0"/>
        <w:spacing w:before="280" w:after="290" w:line="400" w:lineRule="exact"/>
        <w:rPr>
          <w:bCs/>
          <w:sz w:val="24"/>
          <w:szCs w:val="24"/>
          <w:highlight w:val="none"/>
        </w:rPr>
      </w:pPr>
    </w:p>
    <w:p>
      <w:pPr>
        <w:keepNext/>
        <w:keepLines/>
        <w:widowControl/>
        <w:tabs>
          <w:tab w:val="left" w:pos="864"/>
        </w:tabs>
        <w:autoSpaceDE/>
        <w:autoSpaceDN/>
        <w:snapToGrid w:val="0"/>
        <w:spacing w:before="280" w:after="290" w:line="400" w:lineRule="exact"/>
        <w:rPr>
          <w:bCs/>
          <w:sz w:val="24"/>
          <w:szCs w:val="24"/>
          <w:highlight w:val="none"/>
        </w:rPr>
      </w:pPr>
    </w:p>
    <w:p>
      <w:pPr>
        <w:keepNext/>
        <w:keepLines/>
        <w:widowControl/>
        <w:tabs>
          <w:tab w:val="left" w:pos="864"/>
        </w:tabs>
        <w:autoSpaceDE/>
        <w:autoSpaceDN/>
        <w:snapToGrid w:val="0"/>
        <w:spacing w:line="360" w:lineRule="auto"/>
        <w:outlineLvl w:val="3"/>
        <w:rPr>
          <w:bCs/>
          <w:sz w:val="24"/>
          <w:szCs w:val="24"/>
          <w:highlight w:val="none"/>
        </w:rPr>
      </w:pPr>
      <w:r>
        <w:rPr>
          <w:rFonts w:hint="eastAsia"/>
          <w:bCs/>
          <w:sz w:val="24"/>
          <w:szCs w:val="24"/>
          <w:highlight w:val="none"/>
        </w:rPr>
        <w:t xml:space="preserve">注：1、如果投标人不是残疾人福利性单位的，可不提供残疾人福利性单位声明函。 </w:t>
      </w:r>
    </w:p>
    <w:p>
      <w:pPr>
        <w:keepNext/>
        <w:keepLines/>
        <w:widowControl/>
        <w:numPr>
          <w:ilvl w:val="0"/>
          <w:numId w:val="21"/>
        </w:numPr>
        <w:tabs>
          <w:tab w:val="left" w:pos="864"/>
        </w:tabs>
        <w:autoSpaceDE/>
        <w:autoSpaceDN/>
        <w:snapToGrid w:val="0"/>
        <w:spacing w:line="360" w:lineRule="auto"/>
        <w:outlineLvl w:val="3"/>
        <w:rPr>
          <w:bCs/>
          <w:sz w:val="24"/>
          <w:szCs w:val="24"/>
          <w:highlight w:val="none"/>
        </w:rPr>
      </w:pPr>
      <w:r>
        <w:rPr>
          <w:rFonts w:hint="eastAsia"/>
          <w:bCs/>
          <w:sz w:val="24"/>
          <w:szCs w:val="24"/>
          <w:highlight w:val="none"/>
        </w:rPr>
        <w:t>在政府采购活动中，残疾人福利性单位视同小型、微型企业，残疾人福利性单位属于小型、微型企业的，不重复享受政策。</w:t>
      </w:r>
    </w:p>
    <w:p>
      <w:pPr>
        <w:pStyle w:val="11"/>
        <w:spacing w:line="360" w:lineRule="auto"/>
        <w:ind w:firstLine="481" w:firstLineChars="200"/>
        <w:rPr>
          <w:highlight w:val="none"/>
        </w:rPr>
      </w:pPr>
      <w:r>
        <w:rPr>
          <w:rFonts w:hint="eastAsia"/>
          <w:b/>
          <w:bCs/>
          <w:highlight w:val="none"/>
        </w:rPr>
        <w:t>如果投标人为监狱企业或符合条件的残疾人福利性单位的，应该在投标文件中附上有效的证明文件。不附上或者提供的证明文件无效的，将不视为小微企业。</w:t>
      </w:r>
    </w:p>
    <w:p>
      <w:pPr>
        <w:pStyle w:val="11"/>
        <w:spacing w:line="360" w:lineRule="auto"/>
        <w:ind w:firstLine="480" w:firstLineChars="200"/>
        <w:rPr>
          <w:highlight w:val="none"/>
        </w:rPr>
        <w:sectPr>
          <w:type w:val="continuous"/>
          <w:pgSz w:w="11910" w:h="16840"/>
          <w:pgMar w:top="1440" w:right="1080" w:bottom="1440" w:left="1080" w:header="720" w:footer="720" w:gutter="0"/>
          <w:cols w:space="720" w:num="1"/>
        </w:sectPr>
      </w:pPr>
    </w:p>
    <w:p>
      <w:pPr>
        <w:pStyle w:val="7"/>
        <w:tabs>
          <w:tab w:val="left" w:pos="902"/>
        </w:tabs>
        <w:spacing w:before="40"/>
        <w:rPr>
          <w:sz w:val="26"/>
          <w:highlight w:val="none"/>
        </w:rPr>
      </w:pPr>
      <w:bookmarkStart w:id="495" w:name="_Toc22661"/>
      <w:bookmarkStart w:id="496" w:name="_Toc27094"/>
      <w:r>
        <w:rPr>
          <w:rFonts w:hint="eastAsia"/>
          <w:highlight w:val="none"/>
          <w:lang w:val="en-US" w:eastAsia="zh-CN"/>
        </w:rPr>
        <w:t>5.</w:t>
      </w:r>
      <w:r>
        <w:rPr>
          <w:rFonts w:hint="eastAsia"/>
          <w:highlight w:val="none"/>
        </w:rPr>
        <w:t>无违法及失信记录声明格式</w:t>
      </w:r>
      <w:bookmarkEnd w:id="495"/>
      <w:bookmarkEnd w:id="496"/>
    </w:p>
    <w:p>
      <w:pPr>
        <w:pStyle w:val="11"/>
        <w:spacing w:before="3"/>
        <w:rPr>
          <w:b/>
          <w:sz w:val="33"/>
          <w:highlight w:val="none"/>
        </w:rPr>
      </w:pPr>
    </w:p>
    <w:p>
      <w:pPr>
        <w:ind w:left="521" w:right="324"/>
        <w:jc w:val="center"/>
        <w:rPr>
          <w:b/>
          <w:sz w:val="28"/>
          <w:highlight w:val="none"/>
        </w:rPr>
      </w:pPr>
      <w:r>
        <w:rPr>
          <w:rFonts w:hint="eastAsia"/>
          <w:b/>
          <w:sz w:val="28"/>
          <w:highlight w:val="none"/>
        </w:rPr>
        <w:t>无违法及失信记录的声明</w:t>
      </w:r>
    </w:p>
    <w:p>
      <w:pPr>
        <w:pStyle w:val="11"/>
        <w:spacing w:before="5"/>
        <w:rPr>
          <w:b/>
          <w:sz w:val="33"/>
          <w:highlight w:val="none"/>
        </w:rPr>
      </w:pPr>
    </w:p>
    <w:p>
      <w:pPr>
        <w:pStyle w:val="11"/>
        <w:ind w:left="477"/>
        <w:rPr>
          <w:highlight w:val="none"/>
        </w:rPr>
      </w:pPr>
      <w:r>
        <w:rPr>
          <w:rFonts w:hint="eastAsia"/>
          <w:highlight w:val="none"/>
        </w:rPr>
        <w:t>致：（采购人</w:t>
      </w:r>
      <w:r>
        <w:rPr>
          <w:highlight w:val="none"/>
        </w:rPr>
        <w:t>/</w:t>
      </w:r>
      <w:r>
        <w:rPr>
          <w:rFonts w:hint="eastAsia"/>
          <w:highlight w:val="none"/>
        </w:rPr>
        <w:t>采购代理机构）</w:t>
      </w:r>
    </w:p>
    <w:p>
      <w:pPr>
        <w:pStyle w:val="11"/>
        <w:spacing w:before="158"/>
        <w:ind w:left="477"/>
        <w:rPr>
          <w:highlight w:val="none"/>
        </w:rPr>
      </w:pPr>
    </w:p>
    <w:p>
      <w:pPr>
        <w:pStyle w:val="11"/>
        <w:spacing w:line="360" w:lineRule="auto"/>
        <w:ind w:firstLine="480" w:firstLineChars="200"/>
        <w:rPr>
          <w:highlight w:val="none"/>
        </w:rPr>
      </w:pPr>
      <w:r>
        <w:rPr>
          <w:rFonts w:hint="eastAsia"/>
          <w:highlight w:val="none"/>
        </w:rPr>
        <w:t xml:space="preserve">根据供应商资格要求我公司声明如下： </w:t>
      </w:r>
    </w:p>
    <w:p>
      <w:pPr>
        <w:pStyle w:val="11"/>
        <w:spacing w:line="360" w:lineRule="auto"/>
        <w:ind w:firstLine="480" w:firstLineChars="200"/>
        <w:rPr>
          <w:highlight w:val="none"/>
        </w:rPr>
      </w:pPr>
      <w:r>
        <w:rPr>
          <w:rFonts w:hint="eastAsia"/>
          <w:highlight w:val="none"/>
        </w:rPr>
        <w:t>1、参加贵方组织的</w:t>
      </w:r>
      <w:r>
        <w:rPr>
          <w:rFonts w:hint="eastAsia"/>
          <w:bCs/>
          <w:highlight w:val="none"/>
        </w:rPr>
        <w:t>（采购项目</w:t>
      </w:r>
      <w:r>
        <w:rPr>
          <w:rFonts w:hint="eastAsia"/>
          <w:spacing w:val="6"/>
          <w:highlight w:val="none"/>
        </w:rPr>
        <w:t>名称</w:t>
      </w:r>
      <w:r>
        <w:rPr>
          <w:rFonts w:hint="eastAsia"/>
          <w:bCs/>
          <w:highlight w:val="none"/>
        </w:rPr>
        <w:t>）（ 采购项目编号 ：）</w:t>
      </w:r>
      <w:r>
        <w:rPr>
          <w:rFonts w:hint="eastAsia"/>
          <w:highlight w:val="none"/>
        </w:rPr>
        <w:t xml:space="preserve">前 3 年内，在经营活动中没有重大违法记录。 </w:t>
      </w:r>
    </w:p>
    <w:p>
      <w:pPr>
        <w:pStyle w:val="11"/>
        <w:spacing w:line="360" w:lineRule="auto"/>
        <w:ind w:firstLine="480" w:firstLineChars="200"/>
        <w:rPr>
          <w:highlight w:val="none"/>
        </w:rPr>
      </w:pPr>
      <w:r>
        <w:rPr>
          <w:rFonts w:hint="eastAsia"/>
          <w:highlight w:val="none"/>
        </w:rPr>
        <w:t>2、我单位未被列入“信用中国”网站(www.creditchina.gov.cn)“记录失信被执行人或</w:t>
      </w:r>
      <w:r>
        <w:rPr>
          <w:rFonts w:hint="eastAsia"/>
          <w:spacing w:val="-3"/>
          <w:highlight w:val="none"/>
        </w:rPr>
        <w:t>重大税收违法案件当事人名单或政府采购严重违法失信行为”记录名单；不处于中国政府采购</w:t>
      </w:r>
      <w:r>
        <w:rPr>
          <w:rFonts w:hint="eastAsia"/>
          <w:highlight w:val="none"/>
        </w:rPr>
        <w:t xml:space="preserve">网(www.ccgp.gov.cn)“政府采购严重违法失信行为信息记录”中的禁止参加政府采购活动期间。信用信息查询截止时点为投标截止日当天。以信用信息查询截止时点查询结果为准。 </w:t>
      </w:r>
    </w:p>
    <w:p>
      <w:pPr>
        <w:pStyle w:val="11"/>
        <w:spacing w:line="360" w:lineRule="auto"/>
        <w:ind w:firstLine="480" w:firstLineChars="200"/>
        <w:rPr>
          <w:highlight w:val="none"/>
        </w:rPr>
      </w:pPr>
      <w:r>
        <w:rPr>
          <w:rFonts w:hint="eastAsia"/>
          <w:highlight w:val="none"/>
        </w:rPr>
        <w:t xml:space="preserve">特此声明。  </w:t>
      </w:r>
    </w:p>
    <w:p>
      <w:pPr>
        <w:pStyle w:val="11"/>
        <w:spacing w:before="160"/>
        <w:ind w:left="958"/>
        <w:rPr>
          <w:highlight w:val="none"/>
        </w:rPr>
      </w:pPr>
    </w:p>
    <w:p>
      <w:pPr>
        <w:pStyle w:val="11"/>
        <w:spacing w:before="159"/>
        <w:ind w:left="958"/>
        <w:rPr>
          <w:highlight w:val="none"/>
        </w:rPr>
      </w:pPr>
    </w:p>
    <w:p>
      <w:pPr>
        <w:pStyle w:val="11"/>
        <w:spacing w:before="159"/>
        <w:ind w:left="958"/>
        <w:rPr>
          <w:highlight w:val="none"/>
        </w:rPr>
      </w:pPr>
    </w:p>
    <w:p>
      <w:pPr>
        <w:pStyle w:val="11"/>
        <w:spacing w:before="160" w:line="362" w:lineRule="auto"/>
        <w:ind w:left="477" w:right="2184"/>
        <w:rPr>
          <w:highlight w:val="none"/>
        </w:rPr>
      </w:pPr>
      <w:r>
        <w:rPr>
          <w:rFonts w:hint="eastAsia"/>
          <w:highlight w:val="none"/>
        </w:rPr>
        <w:t xml:space="preserve">供应商法定代表人（或法定代表人授权代表）签字： </w:t>
      </w:r>
    </w:p>
    <w:p>
      <w:pPr>
        <w:pStyle w:val="11"/>
        <w:spacing w:before="160" w:line="362" w:lineRule="auto"/>
        <w:ind w:left="477" w:right="2184"/>
        <w:rPr>
          <w:highlight w:val="none"/>
        </w:rPr>
      </w:pPr>
      <w:r>
        <w:rPr>
          <w:rFonts w:hint="eastAsia"/>
          <w:highlight w:val="none"/>
        </w:rPr>
        <w:t>供应商名称（签章</w:t>
      </w:r>
      <w:r>
        <w:rPr>
          <w:rFonts w:hint="eastAsia"/>
          <w:spacing w:val="-120"/>
          <w:highlight w:val="none"/>
        </w:rPr>
        <w:t>）</w:t>
      </w:r>
      <w:r>
        <w:rPr>
          <w:rFonts w:hint="eastAsia"/>
          <w:highlight w:val="none"/>
        </w:rPr>
        <w:t>：</w:t>
      </w:r>
    </w:p>
    <w:p>
      <w:pPr>
        <w:pStyle w:val="11"/>
        <w:spacing w:before="5"/>
        <w:ind w:left="477"/>
        <w:rPr>
          <w:highlight w:val="none"/>
        </w:rPr>
      </w:pPr>
      <w:r>
        <w:rPr>
          <w:rFonts w:hint="eastAsia"/>
          <w:highlight w:val="none"/>
        </w:rPr>
        <w:t>日 期 ：年 月 日</w:t>
      </w:r>
    </w:p>
    <w:p>
      <w:pPr>
        <w:pStyle w:val="11"/>
        <w:spacing w:before="158"/>
        <w:ind w:left="477"/>
        <w:rPr>
          <w:highlight w:val="none"/>
        </w:rPr>
      </w:pPr>
    </w:p>
    <w:p>
      <w:pPr>
        <w:pStyle w:val="11"/>
        <w:spacing w:line="360" w:lineRule="auto"/>
        <w:ind w:firstLine="480" w:firstLineChars="200"/>
        <w:rPr>
          <w:highlight w:val="none"/>
          <w:lang w:eastAsia="zh-CN"/>
        </w:rPr>
      </w:pPr>
      <w:r>
        <w:rPr>
          <w:rFonts w:hint="eastAsia"/>
          <w:highlight w:val="none"/>
        </w:rPr>
        <w:t>注：1、为方便采购人进行资格审查，供应商针对本声明函提供如下附件：</w:t>
      </w:r>
    </w:p>
    <w:p>
      <w:pPr>
        <w:pStyle w:val="11"/>
        <w:spacing w:line="360" w:lineRule="auto"/>
        <w:ind w:firstLine="480" w:firstLineChars="200"/>
        <w:jc w:val="both"/>
        <w:rPr>
          <w:highlight w:val="none"/>
        </w:rPr>
      </w:pPr>
      <w:r>
        <w:rPr>
          <w:rFonts w:hint="eastAsia"/>
          <w:highlight w:val="none"/>
        </w:rPr>
        <w:t>（</w:t>
      </w:r>
      <w:r>
        <w:rPr>
          <w:rFonts w:hint="eastAsia"/>
          <w:highlight w:val="none"/>
          <w:lang w:val="en-US"/>
        </w:rPr>
        <w:t>1</w:t>
      </w:r>
      <w:r>
        <w:rPr>
          <w:rFonts w:hint="eastAsia"/>
          <w:highlight w:val="none"/>
        </w:rPr>
        <w:t>）供应商在报名至投标截止日期间，进入“信用中国”网站(</w:t>
      </w:r>
      <w:r>
        <w:rPr>
          <w:highlight w:val="none"/>
        </w:rPr>
        <w:fldChar w:fldCharType="begin"/>
      </w:r>
      <w:r>
        <w:rPr>
          <w:highlight w:val="none"/>
        </w:rPr>
        <w:instrText xml:space="preserve"> HYPERLINK "http://www.creditchina.gov.cn/" \h </w:instrText>
      </w:r>
      <w:r>
        <w:rPr>
          <w:highlight w:val="none"/>
        </w:rPr>
        <w:fldChar w:fldCharType="separate"/>
      </w:r>
      <w:r>
        <w:rPr>
          <w:rFonts w:hint="eastAsia"/>
          <w:highlight w:val="none"/>
        </w:rPr>
        <w:t>www.creditchina.gov.cn</w:t>
      </w:r>
      <w:r>
        <w:rPr>
          <w:rFonts w:hint="eastAsia"/>
          <w:highlight w:val="none"/>
        </w:rPr>
        <w:fldChar w:fldCharType="end"/>
      </w:r>
      <w:r>
        <w:rPr>
          <w:rFonts w:hint="eastAsia"/>
          <w:highlight w:val="none"/>
        </w:rPr>
        <w:t>)，打印（或截图）本企业信用报告；</w:t>
      </w:r>
    </w:p>
    <w:p>
      <w:pPr>
        <w:pStyle w:val="11"/>
        <w:spacing w:line="360" w:lineRule="auto"/>
        <w:ind w:firstLine="480" w:firstLineChars="200"/>
        <w:rPr>
          <w:highlight w:val="none"/>
        </w:rPr>
      </w:pPr>
      <w:r>
        <w:rPr>
          <w:rFonts w:hint="eastAsia"/>
          <w:highlight w:val="none"/>
        </w:rPr>
        <w:t>（</w:t>
      </w:r>
      <w:r>
        <w:rPr>
          <w:rFonts w:hint="eastAsia"/>
          <w:highlight w:val="none"/>
          <w:lang w:val="en-US"/>
        </w:rPr>
        <w:t>2</w:t>
      </w:r>
      <w:r>
        <w:rPr>
          <w:rFonts w:hint="eastAsia"/>
          <w:highlight w:val="none"/>
        </w:rPr>
        <w:t>）进入“中国政府采购网”(</w:t>
      </w:r>
      <w:r>
        <w:rPr>
          <w:highlight w:val="none"/>
        </w:rPr>
        <w:fldChar w:fldCharType="begin"/>
      </w:r>
      <w:r>
        <w:rPr>
          <w:highlight w:val="none"/>
        </w:rPr>
        <w:instrText xml:space="preserve"> HYPERLINK "http://www.ccgp.gov.cn/" \h </w:instrText>
      </w:r>
      <w:r>
        <w:rPr>
          <w:highlight w:val="none"/>
        </w:rPr>
        <w:fldChar w:fldCharType="separate"/>
      </w:r>
      <w:r>
        <w:rPr>
          <w:rFonts w:hint="eastAsia"/>
          <w:highlight w:val="none"/>
        </w:rPr>
        <w:t>www.ccgp.gov.cn</w:t>
      </w:r>
      <w:r>
        <w:rPr>
          <w:rFonts w:hint="eastAsia"/>
          <w:highlight w:val="none"/>
        </w:rPr>
        <w:fldChar w:fldCharType="end"/>
      </w:r>
      <w:r>
        <w:rPr>
          <w:rFonts w:hint="eastAsia"/>
          <w:highlight w:val="none"/>
        </w:rPr>
        <w:t>)，打印（或截图）本企业信息记录。</w:t>
      </w:r>
    </w:p>
    <w:p>
      <w:pPr>
        <w:pStyle w:val="11"/>
        <w:spacing w:line="360" w:lineRule="auto"/>
        <w:ind w:firstLine="480" w:firstLineChars="200"/>
        <w:rPr>
          <w:highlight w:val="none"/>
        </w:rPr>
      </w:pPr>
      <w:r>
        <w:rPr>
          <w:rFonts w:hint="eastAsia"/>
          <w:highlight w:val="none"/>
        </w:rPr>
        <w:t>2、投标人对声明内容及相关附件的真实性和有效性负责，如经审查、验证，发现造假或情况不一致，将导致投标无效！</w:t>
      </w:r>
    </w:p>
    <w:p>
      <w:pPr>
        <w:spacing w:line="264" w:lineRule="exact"/>
        <w:ind w:left="477"/>
        <w:rPr>
          <w:sz w:val="21"/>
          <w:highlight w:val="none"/>
        </w:rPr>
      </w:pPr>
    </w:p>
    <w:p>
      <w:pPr>
        <w:spacing w:line="264" w:lineRule="exact"/>
        <w:rPr>
          <w:sz w:val="21"/>
          <w:highlight w:val="none"/>
        </w:rPr>
        <w:sectPr>
          <w:pgSz w:w="11910" w:h="16840"/>
          <w:pgMar w:top="1440" w:right="1080" w:bottom="1440" w:left="1080" w:header="0" w:footer="796" w:gutter="0"/>
          <w:cols w:space="720" w:num="1"/>
        </w:sectPr>
      </w:pPr>
    </w:p>
    <w:p>
      <w:pPr>
        <w:pStyle w:val="7"/>
        <w:tabs>
          <w:tab w:val="left" w:pos="902"/>
        </w:tabs>
        <w:spacing w:before="40"/>
        <w:rPr>
          <w:highlight w:val="none"/>
        </w:rPr>
      </w:pPr>
      <w:bookmarkStart w:id="497" w:name="_Toc28609"/>
      <w:bookmarkStart w:id="498" w:name="_Toc16378"/>
      <w:r>
        <w:rPr>
          <w:rFonts w:hint="eastAsia"/>
          <w:highlight w:val="none"/>
          <w:lang w:val="en-US" w:eastAsia="zh-CN"/>
        </w:rPr>
        <w:t>6.</w:t>
      </w:r>
      <w:r>
        <w:rPr>
          <w:rFonts w:hint="eastAsia"/>
          <w:highlight w:val="none"/>
        </w:rPr>
        <w:t>关联企业投标说明</w:t>
      </w:r>
      <w:bookmarkEnd w:id="497"/>
      <w:bookmarkEnd w:id="498"/>
    </w:p>
    <w:p>
      <w:pPr>
        <w:pStyle w:val="11"/>
        <w:spacing w:before="8"/>
        <w:rPr>
          <w:b/>
          <w:sz w:val="31"/>
          <w:highlight w:val="none"/>
        </w:rPr>
      </w:pPr>
    </w:p>
    <w:p>
      <w:pPr>
        <w:pStyle w:val="11"/>
        <w:spacing w:before="8"/>
        <w:jc w:val="center"/>
        <w:rPr>
          <w:b/>
          <w:sz w:val="31"/>
          <w:highlight w:val="none"/>
        </w:rPr>
      </w:pPr>
      <w:r>
        <w:rPr>
          <w:rFonts w:hint="eastAsia"/>
          <w:b/>
          <w:sz w:val="31"/>
          <w:highlight w:val="none"/>
        </w:rPr>
        <w:t>声明函</w:t>
      </w:r>
    </w:p>
    <w:p>
      <w:pPr>
        <w:pStyle w:val="11"/>
        <w:spacing w:before="8"/>
        <w:jc w:val="center"/>
        <w:rPr>
          <w:b/>
          <w:sz w:val="31"/>
          <w:highlight w:val="none"/>
        </w:rPr>
      </w:pPr>
    </w:p>
    <w:p>
      <w:pPr>
        <w:jc w:val="center"/>
        <w:rPr>
          <w:sz w:val="28"/>
          <w:highlight w:val="none"/>
        </w:rPr>
      </w:pPr>
    </w:p>
    <w:p>
      <w:pPr>
        <w:pStyle w:val="11"/>
        <w:spacing w:before="3"/>
        <w:ind w:left="477"/>
        <w:rPr>
          <w:highlight w:val="none"/>
        </w:rPr>
      </w:pPr>
      <w:r>
        <w:rPr>
          <w:rFonts w:hint="eastAsia"/>
          <w:highlight w:val="none"/>
        </w:rPr>
        <w:t>致：（采购人</w:t>
      </w:r>
      <w:r>
        <w:rPr>
          <w:highlight w:val="none"/>
        </w:rPr>
        <w:t>/</w:t>
      </w:r>
      <w:r>
        <w:rPr>
          <w:rFonts w:hint="eastAsia"/>
          <w:highlight w:val="none"/>
        </w:rPr>
        <w:t>采购代理机构）</w:t>
      </w:r>
    </w:p>
    <w:p>
      <w:pPr>
        <w:pStyle w:val="11"/>
        <w:spacing w:before="158"/>
        <w:ind w:left="477"/>
        <w:rPr>
          <w:highlight w:val="none"/>
        </w:rPr>
      </w:pPr>
    </w:p>
    <w:p>
      <w:pPr>
        <w:pStyle w:val="11"/>
        <w:spacing w:before="160" w:line="364" w:lineRule="auto"/>
        <w:ind w:left="477" w:right="624" w:firstLine="480"/>
        <w:rPr>
          <w:highlight w:val="none"/>
        </w:rPr>
      </w:pPr>
      <w:r>
        <w:rPr>
          <w:rFonts w:hint="eastAsia"/>
          <w:highlight w:val="none"/>
        </w:rPr>
        <w:t>我公司参加贵方组织项目</w:t>
      </w:r>
      <w:r>
        <w:rPr>
          <w:rFonts w:hint="eastAsia"/>
          <w:bCs/>
          <w:highlight w:val="none"/>
        </w:rPr>
        <w:t>（采购项目</w:t>
      </w:r>
      <w:r>
        <w:rPr>
          <w:rFonts w:hint="eastAsia"/>
          <w:spacing w:val="6"/>
          <w:highlight w:val="none"/>
        </w:rPr>
        <w:t>名称</w:t>
      </w:r>
      <w:r>
        <w:rPr>
          <w:rFonts w:hint="eastAsia"/>
          <w:bCs/>
          <w:highlight w:val="none"/>
        </w:rPr>
        <w:t>）</w:t>
      </w:r>
      <w:r>
        <w:rPr>
          <w:rFonts w:hint="eastAsia"/>
          <w:highlight w:val="none"/>
        </w:rPr>
        <w:t xml:space="preserve">的投标邀请，现作出声明如下：  </w:t>
      </w:r>
    </w:p>
    <w:p>
      <w:pPr>
        <w:pStyle w:val="11"/>
        <w:spacing w:line="306" w:lineRule="exact"/>
        <w:ind w:left="958"/>
        <w:rPr>
          <w:highlight w:val="none"/>
        </w:rPr>
      </w:pPr>
      <w:r>
        <w:rPr>
          <w:rFonts w:hint="eastAsia"/>
          <w:highlight w:val="none"/>
        </w:rPr>
        <w:t xml:space="preserve">本公司符合《中华人民共和国政府采购法实施条例》第十八条的规定：  </w:t>
      </w:r>
    </w:p>
    <w:p>
      <w:pPr>
        <w:pStyle w:val="11"/>
        <w:spacing w:before="161" w:line="364" w:lineRule="auto"/>
        <w:ind w:left="477" w:right="295" w:firstLine="480"/>
        <w:rPr>
          <w:highlight w:val="none"/>
        </w:rPr>
      </w:pPr>
      <w:r>
        <w:rPr>
          <w:rFonts w:hint="eastAsia"/>
          <w:highlight w:val="none"/>
        </w:rPr>
        <w:t xml:space="preserve">单位负责人为同一人或者存在直接控股、管理关系的不同供应商，不得参加同一合同项下的政府采购活动。  </w:t>
      </w:r>
    </w:p>
    <w:p>
      <w:pPr>
        <w:pStyle w:val="11"/>
        <w:spacing w:line="362" w:lineRule="auto"/>
        <w:ind w:left="477" w:right="295" w:firstLine="480"/>
        <w:rPr>
          <w:highlight w:val="none"/>
        </w:rPr>
      </w:pPr>
      <w:r>
        <w:rPr>
          <w:rFonts w:hint="eastAsia"/>
          <w:spacing w:val="-4"/>
          <w:highlight w:val="none"/>
        </w:rPr>
        <w:t xml:space="preserve">除单一来源采购项目外，为采购项目提供整体设计、规范编制或者项目管理、监理、检测等服务的供应商，不得再参加该采购项目的其他采购活动。  </w:t>
      </w:r>
    </w:p>
    <w:p>
      <w:pPr>
        <w:pStyle w:val="11"/>
        <w:spacing w:before="4"/>
        <w:ind w:left="958"/>
        <w:rPr>
          <w:highlight w:val="none"/>
        </w:rPr>
      </w:pPr>
      <w:r>
        <w:rPr>
          <w:rFonts w:hint="eastAsia"/>
          <w:highlight w:val="none"/>
        </w:rPr>
        <w:t xml:space="preserve">本公司对上述声明的真实性负责。如有虚假，将依法承担相应责任。 </w:t>
      </w:r>
    </w:p>
    <w:p>
      <w:pPr>
        <w:pStyle w:val="11"/>
        <w:spacing w:before="158"/>
        <w:ind w:left="958"/>
        <w:rPr>
          <w:highlight w:val="none"/>
        </w:rPr>
      </w:pPr>
    </w:p>
    <w:p>
      <w:pPr>
        <w:pStyle w:val="11"/>
        <w:spacing w:before="161"/>
        <w:ind w:left="958"/>
        <w:rPr>
          <w:highlight w:val="none"/>
        </w:rPr>
      </w:pPr>
    </w:p>
    <w:p>
      <w:pPr>
        <w:pStyle w:val="11"/>
        <w:spacing w:before="158"/>
        <w:ind w:left="958"/>
        <w:rPr>
          <w:highlight w:val="none"/>
        </w:rPr>
      </w:pPr>
    </w:p>
    <w:p>
      <w:pPr>
        <w:pStyle w:val="11"/>
        <w:spacing w:before="161"/>
        <w:ind w:left="958"/>
        <w:rPr>
          <w:highlight w:val="none"/>
        </w:rPr>
      </w:pPr>
    </w:p>
    <w:p>
      <w:pPr>
        <w:pStyle w:val="11"/>
        <w:spacing w:before="158"/>
        <w:ind w:left="958"/>
        <w:rPr>
          <w:highlight w:val="none"/>
        </w:rPr>
      </w:pPr>
    </w:p>
    <w:p>
      <w:pPr>
        <w:pStyle w:val="11"/>
        <w:spacing w:before="160"/>
        <w:ind w:left="958"/>
        <w:rPr>
          <w:highlight w:val="none"/>
        </w:rPr>
      </w:pPr>
    </w:p>
    <w:p>
      <w:pPr>
        <w:pStyle w:val="11"/>
        <w:spacing w:before="158"/>
        <w:ind w:left="958"/>
        <w:rPr>
          <w:highlight w:val="none"/>
        </w:rPr>
      </w:pPr>
    </w:p>
    <w:p>
      <w:pPr>
        <w:pStyle w:val="11"/>
        <w:spacing w:before="161"/>
        <w:ind w:left="958"/>
        <w:rPr>
          <w:highlight w:val="none"/>
        </w:rPr>
      </w:pPr>
    </w:p>
    <w:p>
      <w:pPr>
        <w:pStyle w:val="11"/>
        <w:spacing w:line="360" w:lineRule="auto"/>
        <w:ind w:firstLine="480" w:firstLineChars="200"/>
        <w:rPr>
          <w:highlight w:val="none"/>
        </w:rPr>
      </w:pPr>
      <w:r>
        <w:rPr>
          <w:rFonts w:hint="eastAsia"/>
          <w:highlight w:val="none"/>
        </w:rPr>
        <w:t xml:space="preserve">供应商法定代表人（或法定代表人授权代表）签字： </w:t>
      </w:r>
    </w:p>
    <w:p>
      <w:pPr>
        <w:pStyle w:val="11"/>
        <w:spacing w:line="360" w:lineRule="auto"/>
        <w:ind w:firstLine="480" w:firstLineChars="200"/>
        <w:rPr>
          <w:highlight w:val="none"/>
        </w:rPr>
      </w:pPr>
      <w:r>
        <w:rPr>
          <w:rFonts w:hint="eastAsia"/>
          <w:highlight w:val="none"/>
        </w:rPr>
        <w:t>供应商名称（签章</w:t>
      </w:r>
      <w:r>
        <w:rPr>
          <w:rFonts w:hint="eastAsia"/>
          <w:spacing w:val="-120"/>
          <w:highlight w:val="none"/>
        </w:rPr>
        <w:t>）</w:t>
      </w:r>
      <w:r>
        <w:rPr>
          <w:rFonts w:hint="eastAsia"/>
          <w:highlight w:val="none"/>
        </w:rPr>
        <w:t>：</w:t>
      </w:r>
    </w:p>
    <w:p>
      <w:pPr>
        <w:pStyle w:val="11"/>
        <w:spacing w:line="360" w:lineRule="auto"/>
        <w:ind w:firstLine="480" w:firstLineChars="200"/>
        <w:rPr>
          <w:spacing w:val="59"/>
          <w:highlight w:val="none"/>
        </w:rPr>
      </w:pPr>
      <w:r>
        <w:rPr>
          <w:rFonts w:hint="eastAsia"/>
          <w:highlight w:val="none"/>
        </w:rPr>
        <w:t>日 期 ：年 月 日</w:t>
      </w:r>
    </w:p>
    <w:p>
      <w:pPr>
        <w:pStyle w:val="11"/>
        <w:spacing w:before="5"/>
        <w:ind w:left="477"/>
        <w:rPr>
          <w:spacing w:val="59"/>
          <w:highlight w:val="none"/>
        </w:rPr>
      </w:pPr>
    </w:p>
    <w:p>
      <w:pPr>
        <w:pStyle w:val="11"/>
        <w:spacing w:before="5"/>
        <w:ind w:left="477"/>
        <w:rPr>
          <w:spacing w:val="59"/>
          <w:highlight w:val="none"/>
        </w:rPr>
      </w:pPr>
    </w:p>
    <w:p>
      <w:pPr>
        <w:pStyle w:val="11"/>
        <w:spacing w:before="5"/>
        <w:rPr>
          <w:spacing w:val="59"/>
          <w:highlight w:val="none"/>
        </w:rPr>
      </w:pPr>
    </w:p>
    <w:p>
      <w:pPr>
        <w:pStyle w:val="11"/>
        <w:spacing w:before="5"/>
        <w:rPr>
          <w:spacing w:val="59"/>
          <w:highlight w:val="none"/>
        </w:rPr>
      </w:pPr>
    </w:p>
    <w:p>
      <w:pPr>
        <w:pStyle w:val="11"/>
        <w:spacing w:before="5"/>
        <w:rPr>
          <w:spacing w:val="59"/>
          <w:highlight w:val="none"/>
        </w:rPr>
      </w:pPr>
    </w:p>
    <w:p>
      <w:pPr>
        <w:pStyle w:val="11"/>
        <w:spacing w:before="5"/>
        <w:rPr>
          <w:spacing w:val="59"/>
          <w:highlight w:val="none"/>
        </w:rPr>
      </w:pPr>
    </w:p>
    <w:p>
      <w:pPr>
        <w:rPr>
          <w:highlight w:val="none"/>
          <w:lang w:val="en-US" w:eastAsia="zh-CN"/>
        </w:rPr>
      </w:pPr>
      <w:bookmarkStart w:id="499" w:name="_Toc21399"/>
      <w:bookmarkStart w:id="500" w:name="_Toc31800"/>
      <w:r>
        <w:rPr>
          <w:rFonts w:hint="eastAsia"/>
          <w:highlight w:val="none"/>
          <w:lang w:val="en-US" w:eastAsia="zh-CN"/>
        </w:rPr>
        <w:br w:type="page"/>
      </w:r>
    </w:p>
    <w:p>
      <w:pPr>
        <w:pStyle w:val="7"/>
        <w:tabs>
          <w:tab w:val="left" w:pos="1242"/>
        </w:tabs>
        <w:spacing w:before="40"/>
        <w:ind w:left="0" w:leftChars="0" w:firstLine="0" w:firstLineChars="0"/>
        <w:rPr>
          <w:sz w:val="26"/>
          <w:highlight w:val="none"/>
        </w:rPr>
      </w:pPr>
      <w:r>
        <w:rPr>
          <w:rFonts w:hint="eastAsia"/>
          <w:highlight w:val="none"/>
          <w:lang w:val="en-US" w:eastAsia="zh-CN"/>
        </w:rPr>
        <w:t>7.</w:t>
      </w:r>
      <w:r>
        <w:rPr>
          <w:rFonts w:hint="eastAsia"/>
          <w:highlight w:val="none"/>
        </w:rPr>
        <w:t>报价承诺书</w:t>
      </w:r>
      <w:bookmarkEnd w:id="499"/>
      <w:bookmarkEnd w:id="500"/>
    </w:p>
    <w:p>
      <w:pPr>
        <w:pStyle w:val="11"/>
        <w:rPr>
          <w:b/>
          <w:sz w:val="20"/>
          <w:highlight w:val="none"/>
        </w:rPr>
      </w:pPr>
    </w:p>
    <w:p>
      <w:pPr>
        <w:pStyle w:val="11"/>
        <w:spacing w:line="360" w:lineRule="auto"/>
        <w:ind w:firstLine="480" w:firstLineChars="200"/>
        <w:rPr>
          <w:highlight w:val="none"/>
          <w:lang w:eastAsia="zh-CN"/>
        </w:rPr>
      </w:pPr>
      <w:r>
        <w:rPr>
          <w:rFonts w:hint="eastAsia"/>
          <w:highlight w:val="none"/>
        </w:rPr>
        <w:t>（采购人</w:t>
      </w:r>
      <w:r>
        <w:rPr>
          <w:highlight w:val="none"/>
        </w:rPr>
        <w:t>/</w:t>
      </w:r>
      <w:r>
        <w:rPr>
          <w:rFonts w:hint="eastAsia"/>
          <w:highlight w:val="none"/>
        </w:rPr>
        <w:t>采购代理机构）</w:t>
      </w:r>
      <w:r>
        <w:rPr>
          <w:rFonts w:hint="eastAsia"/>
          <w:highlight w:val="none"/>
          <w:lang w:eastAsia="zh-CN"/>
        </w:rPr>
        <w:t>：</w:t>
      </w:r>
    </w:p>
    <w:p>
      <w:pPr>
        <w:pStyle w:val="11"/>
        <w:spacing w:line="360" w:lineRule="auto"/>
        <w:ind w:firstLine="480" w:firstLineChars="200"/>
        <w:rPr>
          <w:highlight w:val="none"/>
        </w:rPr>
      </w:pPr>
      <w:r>
        <w:rPr>
          <w:rFonts w:hint="eastAsia"/>
          <w:highlight w:val="none"/>
        </w:rPr>
        <w:t>本供应商已详细阅读了</w:t>
      </w:r>
      <w:r>
        <w:rPr>
          <w:rFonts w:hint="eastAsia"/>
          <w:bCs/>
          <w:highlight w:val="none"/>
        </w:rPr>
        <w:t>（采购项目</w:t>
      </w:r>
      <w:r>
        <w:rPr>
          <w:rFonts w:hint="eastAsia"/>
          <w:spacing w:val="6"/>
          <w:highlight w:val="none"/>
        </w:rPr>
        <w:t>名称</w:t>
      </w:r>
      <w:r>
        <w:rPr>
          <w:rFonts w:hint="eastAsia"/>
          <w:bCs/>
          <w:highlight w:val="none"/>
        </w:rPr>
        <w:t>）</w:t>
      </w:r>
      <w:r>
        <w:rPr>
          <w:rFonts w:hint="eastAsia"/>
          <w:highlight w:val="none"/>
          <w:lang w:val="en-US" w:eastAsia="zh-CN"/>
        </w:rPr>
        <w:t>采购</w:t>
      </w:r>
      <w:r>
        <w:rPr>
          <w:rFonts w:hint="eastAsia"/>
          <w:highlight w:val="none"/>
        </w:rPr>
        <w:t xml:space="preserve">文件，自愿参加上述工程的报价活动，现就有关事项向采购人郑重承诺如下： </w:t>
      </w:r>
    </w:p>
    <w:p>
      <w:pPr>
        <w:pStyle w:val="34"/>
        <w:numPr>
          <w:ilvl w:val="0"/>
          <w:numId w:val="22"/>
        </w:numPr>
        <w:spacing w:line="360" w:lineRule="auto"/>
        <w:ind w:left="0" w:firstLine="476" w:firstLineChars="200"/>
        <w:rPr>
          <w:sz w:val="24"/>
          <w:highlight w:val="none"/>
        </w:rPr>
      </w:pPr>
      <w:r>
        <w:rPr>
          <w:rFonts w:hint="eastAsia"/>
          <w:spacing w:val="-1"/>
          <w:sz w:val="24"/>
          <w:highlight w:val="none"/>
        </w:rPr>
        <w:t>报价供应商自愿在</w:t>
      </w:r>
      <w:r>
        <w:rPr>
          <w:rFonts w:hint="eastAsia"/>
          <w:spacing w:val="-1"/>
          <w:sz w:val="24"/>
          <w:highlight w:val="none"/>
          <w:lang w:val="en-US" w:eastAsia="zh-CN"/>
        </w:rPr>
        <w:t>采购</w:t>
      </w:r>
      <w:r>
        <w:rPr>
          <w:rFonts w:hint="eastAsia"/>
          <w:spacing w:val="-1"/>
          <w:sz w:val="24"/>
          <w:highlight w:val="none"/>
        </w:rPr>
        <w:t>文件规定的时限内按照</w:t>
      </w:r>
      <w:r>
        <w:rPr>
          <w:rFonts w:hint="eastAsia"/>
          <w:spacing w:val="-1"/>
          <w:sz w:val="24"/>
          <w:highlight w:val="none"/>
          <w:lang w:val="en-US" w:eastAsia="zh-CN"/>
        </w:rPr>
        <w:t>采购</w:t>
      </w:r>
      <w:r>
        <w:rPr>
          <w:rFonts w:hint="eastAsia"/>
          <w:spacing w:val="-1"/>
          <w:sz w:val="24"/>
          <w:highlight w:val="none"/>
        </w:rPr>
        <w:t>文件及施工合同、设计图纸、</w:t>
      </w:r>
      <w:r>
        <w:rPr>
          <w:rFonts w:hint="eastAsia"/>
          <w:sz w:val="24"/>
          <w:highlight w:val="none"/>
        </w:rPr>
        <w:t>工程量清单、技术规范等要求完成施工任务，按时竣工验收并向采购人移交工程。工程质量按照</w:t>
      </w:r>
      <w:r>
        <w:rPr>
          <w:rFonts w:hint="eastAsia"/>
          <w:sz w:val="24"/>
          <w:highlight w:val="none"/>
          <w:lang w:val="en-US" w:eastAsia="zh-CN"/>
        </w:rPr>
        <w:t>采购</w:t>
      </w:r>
      <w:r>
        <w:rPr>
          <w:rFonts w:hint="eastAsia"/>
          <w:sz w:val="24"/>
          <w:highlight w:val="none"/>
        </w:rPr>
        <w:t>响应文件的承诺并满足</w:t>
      </w:r>
      <w:r>
        <w:rPr>
          <w:rFonts w:hint="eastAsia"/>
          <w:sz w:val="24"/>
          <w:highlight w:val="none"/>
          <w:lang w:val="en-US" w:eastAsia="zh-CN"/>
        </w:rPr>
        <w:t>采购</w:t>
      </w:r>
      <w:r>
        <w:rPr>
          <w:rFonts w:hint="eastAsia"/>
          <w:sz w:val="24"/>
          <w:highlight w:val="none"/>
        </w:rPr>
        <w:t xml:space="preserve">文件要求。 </w:t>
      </w:r>
    </w:p>
    <w:p>
      <w:pPr>
        <w:pStyle w:val="34"/>
        <w:numPr>
          <w:ilvl w:val="0"/>
          <w:numId w:val="22"/>
        </w:numPr>
        <w:spacing w:line="360" w:lineRule="auto"/>
        <w:ind w:left="0" w:firstLine="480" w:firstLineChars="200"/>
        <w:rPr>
          <w:sz w:val="24"/>
          <w:highlight w:val="none"/>
        </w:rPr>
      </w:pPr>
      <w:r>
        <w:rPr>
          <w:rFonts w:hint="eastAsia"/>
          <w:sz w:val="24"/>
          <w:highlight w:val="none"/>
        </w:rPr>
        <w:t>遵守中华人民共和国、广东省、</w:t>
      </w:r>
      <w:r>
        <w:rPr>
          <w:rFonts w:hint="eastAsia"/>
          <w:sz w:val="24"/>
          <w:highlight w:val="none"/>
          <w:u w:val="single"/>
        </w:rPr>
        <w:t>江门</w:t>
      </w:r>
      <w:r>
        <w:rPr>
          <w:rFonts w:hint="eastAsia"/>
          <w:spacing w:val="-1"/>
          <w:sz w:val="24"/>
          <w:highlight w:val="none"/>
        </w:rPr>
        <w:t>市有关政府采购的法律法规规定，自觉维护建筑市</w:t>
      </w:r>
      <w:r>
        <w:rPr>
          <w:rFonts w:hint="eastAsia"/>
          <w:sz w:val="24"/>
          <w:highlight w:val="none"/>
        </w:rPr>
        <w:t xml:space="preserve">场秩序。否则，同意被废除报价资格并接受处罚。 </w:t>
      </w:r>
    </w:p>
    <w:p>
      <w:pPr>
        <w:pStyle w:val="34"/>
        <w:numPr>
          <w:ilvl w:val="0"/>
          <w:numId w:val="22"/>
        </w:numPr>
        <w:spacing w:line="360" w:lineRule="auto"/>
        <w:ind w:left="0" w:firstLine="480" w:firstLineChars="200"/>
        <w:rPr>
          <w:sz w:val="24"/>
          <w:highlight w:val="none"/>
        </w:rPr>
      </w:pPr>
      <w:r>
        <w:rPr>
          <w:rFonts w:hint="eastAsia"/>
          <w:sz w:val="24"/>
          <w:highlight w:val="none"/>
        </w:rPr>
        <w:t>保证报价响应文件内容无任何虚假。若</w:t>
      </w:r>
      <w:r>
        <w:rPr>
          <w:rFonts w:hint="eastAsia"/>
          <w:spacing w:val="-1"/>
          <w:sz w:val="24"/>
          <w:highlight w:val="none"/>
        </w:rPr>
        <w:t>报价响应过程中查出有虚假，同意作无效响应文件</w:t>
      </w:r>
      <w:r>
        <w:rPr>
          <w:rFonts w:hint="eastAsia"/>
          <w:spacing w:val="-1"/>
          <w:sz w:val="24"/>
          <w:highlight w:val="none"/>
          <w:lang w:eastAsia="zh-CN"/>
        </w:rPr>
        <w:t>废标</w:t>
      </w:r>
      <w:r>
        <w:rPr>
          <w:rFonts w:hint="eastAsia"/>
          <w:spacing w:val="-1"/>
          <w:sz w:val="24"/>
          <w:highlight w:val="none"/>
        </w:rPr>
        <w:t>处理，若成交之后查出有虚假，同意废除成交资格</w:t>
      </w:r>
      <w:r>
        <w:rPr>
          <w:rFonts w:hint="eastAsia"/>
          <w:sz w:val="24"/>
          <w:highlight w:val="none"/>
        </w:rPr>
        <w:t xml:space="preserve">。 </w:t>
      </w:r>
    </w:p>
    <w:p>
      <w:pPr>
        <w:pStyle w:val="34"/>
        <w:numPr>
          <w:ilvl w:val="0"/>
          <w:numId w:val="22"/>
        </w:numPr>
        <w:spacing w:line="360" w:lineRule="auto"/>
        <w:ind w:left="0" w:firstLine="480" w:firstLineChars="200"/>
        <w:rPr>
          <w:sz w:val="24"/>
          <w:highlight w:val="none"/>
        </w:rPr>
      </w:pPr>
      <w:r>
        <w:rPr>
          <w:rFonts w:hint="eastAsia"/>
          <w:sz w:val="24"/>
          <w:highlight w:val="none"/>
        </w:rPr>
        <w:t xml:space="preserve">保证响应文件不存在低于成本的恶意报价行为。 </w:t>
      </w:r>
    </w:p>
    <w:p>
      <w:pPr>
        <w:pStyle w:val="34"/>
        <w:numPr>
          <w:ilvl w:val="0"/>
          <w:numId w:val="22"/>
        </w:numPr>
        <w:spacing w:line="360" w:lineRule="auto"/>
        <w:ind w:left="0" w:firstLine="476" w:firstLineChars="200"/>
        <w:rPr>
          <w:sz w:val="24"/>
          <w:highlight w:val="none"/>
        </w:rPr>
      </w:pPr>
      <w:r>
        <w:rPr>
          <w:rFonts w:hint="eastAsia"/>
          <w:spacing w:val="-1"/>
          <w:sz w:val="24"/>
          <w:highlight w:val="none"/>
        </w:rPr>
        <w:t>保证按照</w:t>
      </w:r>
      <w:r>
        <w:rPr>
          <w:rFonts w:hint="eastAsia"/>
          <w:spacing w:val="-1"/>
          <w:sz w:val="24"/>
          <w:highlight w:val="none"/>
          <w:lang w:val="en-US" w:eastAsia="zh-CN"/>
        </w:rPr>
        <w:t>采购</w:t>
      </w:r>
      <w:r>
        <w:rPr>
          <w:rFonts w:hint="eastAsia"/>
          <w:spacing w:val="-1"/>
          <w:sz w:val="24"/>
          <w:highlight w:val="none"/>
        </w:rPr>
        <w:t>文件及成交通知书规定提交履约担保并商签施工合同。否则，同意接受采</w:t>
      </w:r>
      <w:r>
        <w:rPr>
          <w:rFonts w:hint="eastAsia"/>
          <w:sz w:val="24"/>
          <w:highlight w:val="none"/>
        </w:rPr>
        <w:t xml:space="preserve">购人违约处理。 </w:t>
      </w:r>
    </w:p>
    <w:p>
      <w:pPr>
        <w:pStyle w:val="34"/>
        <w:numPr>
          <w:ilvl w:val="0"/>
          <w:numId w:val="22"/>
        </w:numPr>
        <w:spacing w:line="360" w:lineRule="auto"/>
        <w:ind w:left="0" w:firstLine="480" w:firstLineChars="200"/>
        <w:rPr>
          <w:sz w:val="24"/>
          <w:highlight w:val="none"/>
        </w:rPr>
      </w:pPr>
      <w:r>
        <w:rPr>
          <w:rFonts w:hint="eastAsia"/>
          <w:sz w:val="24"/>
          <w:highlight w:val="none"/>
        </w:rPr>
        <w:t xml:space="preserve">保证按照施工合同约定完成施工合同范围内的全部内容，履行保修责任。 </w:t>
      </w:r>
    </w:p>
    <w:p>
      <w:pPr>
        <w:pStyle w:val="34"/>
        <w:numPr>
          <w:ilvl w:val="0"/>
          <w:numId w:val="22"/>
        </w:numPr>
        <w:spacing w:line="360" w:lineRule="auto"/>
        <w:ind w:left="0" w:firstLine="476" w:firstLineChars="200"/>
        <w:rPr>
          <w:sz w:val="24"/>
          <w:highlight w:val="none"/>
        </w:rPr>
      </w:pPr>
      <w:r>
        <w:rPr>
          <w:rFonts w:hint="eastAsia"/>
          <w:spacing w:val="-1"/>
          <w:sz w:val="24"/>
          <w:highlight w:val="none"/>
        </w:rPr>
        <w:t>保证成交之后不转包、不用挂靠施工队伍，若分包将征得采购人同意并遵守相关法律法</w:t>
      </w:r>
      <w:r>
        <w:rPr>
          <w:rFonts w:hint="eastAsia"/>
          <w:sz w:val="24"/>
          <w:highlight w:val="none"/>
        </w:rPr>
        <w:t xml:space="preserve">规。 </w:t>
      </w:r>
    </w:p>
    <w:p>
      <w:pPr>
        <w:pStyle w:val="34"/>
        <w:numPr>
          <w:ilvl w:val="0"/>
          <w:numId w:val="22"/>
        </w:numPr>
        <w:spacing w:line="360" w:lineRule="auto"/>
        <w:ind w:left="0" w:firstLine="476" w:firstLineChars="200"/>
        <w:rPr>
          <w:sz w:val="24"/>
          <w:highlight w:val="none"/>
        </w:rPr>
      </w:pPr>
      <w:r>
        <w:rPr>
          <w:rFonts w:hint="eastAsia"/>
          <w:spacing w:val="-1"/>
          <w:sz w:val="24"/>
          <w:highlight w:val="none"/>
        </w:rPr>
        <w:t>保证成交之后按</w:t>
      </w:r>
      <w:r>
        <w:rPr>
          <w:rFonts w:hint="eastAsia"/>
          <w:spacing w:val="-1"/>
          <w:sz w:val="24"/>
          <w:highlight w:val="none"/>
          <w:lang w:val="en-US" w:eastAsia="zh-CN"/>
        </w:rPr>
        <w:t>采购</w:t>
      </w:r>
      <w:r>
        <w:rPr>
          <w:rFonts w:hint="eastAsia"/>
          <w:spacing w:val="-1"/>
          <w:sz w:val="24"/>
          <w:highlight w:val="none"/>
        </w:rPr>
        <w:t>文件要求向采购项目派驻管理人员及投入机械设备，否则，同意接</w:t>
      </w:r>
      <w:r>
        <w:rPr>
          <w:rFonts w:hint="eastAsia"/>
          <w:sz w:val="24"/>
          <w:highlight w:val="none"/>
        </w:rPr>
        <w:t xml:space="preserve">受违约处罚并被没收履约担保。 </w:t>
      </w:r>
    </w:p>
    <w:p>
      <w:pPr>
        <w:pStyle w:val="34"/>
        <w:numPr>
          <w:ilvl w:val="0"/>
          <w:numId w:val="22"/>
        </w:numPr>
        <w:spacing w:line="360" w:lineRule="auto"/>
        <w:ind w:left="0" w:firstLine="476" w:firstLineChars="200"/>
        <w:rPr>
          <w:sz w:val="24"/>
          <w:highlight w:val="none"/>
        </w:rPr>
      </w:pPr>
      <w:r>
        <w:rPr>
          <w:rFonts w:hint="eastAsia"/>
          <w:spacing w:val="-1"/>
          <w:sz w:val="24"/>
          <w:highlight w:val="none"/>
        </w:rPr>
        <w:t>保证成交之后密切配合建设单位及监理单位开展工作，服从建设单位驻现场代表及现场</w:t>
      </w:r>
      <w:r>
        <w:rPr>
          <w:rFonts w:hint="eastAsia"/>
          <w:sz w:val="24"/>
          <w:highlight w:val="none"/>
        </w:rPr>
        <w:t xml:space="preserve">监理人员的监督管理。 </w:t>
      </w:r>
    </w:p>
    <w:p>
      <w:pPr>
        <w:pStyle w:val="34"/>
        <w:numPr>
          <w:ilvl w:val="0"/>
          <w:numId w:val="22"/>
        </w:numPr>
        <w:spacing w:line="360" w:lineRule="auto"/>
        <w:ind w:left="0" w:firstLine="464" w:firstLineChars="200"/>
        <w:rPr>
          <w:sz w:val="24"/>
          <w:highlight w:val="none"/>
        </w:rPr>
      </w:pPr>
      <w:r>
        <w:rPr>
          <w:rFonts w:hint="eastAsia"/>
          <w:spacing w:val="-4"/>
          <w:sz w:val="24"/>
          <w:highlight w:val="none"/>
        </w:rPr>
        <w:t>保证按文件及施工合同约定的原则处理造价调整事宜，不发生签署施工合同之后恶</w:t>
      </w:r>
      <w:r>
        <w:rPr>
          <w:rFonts w:hint="eastAsia"/>
          <w:sz w:val="24"/>
          <w:highlight w:val="none"/>
        </w:rPr>
        <w:t xml:space="preserve">意提高造价的行为。 </w:t>
      </w:r>
    </w:p>
    <w:p>
      <w:pPr>
        <w:pStyle w:val="11"/>
        <w:spacing w:line="360" w:lineRule="auto"/>
        <w:ind w:firstLine="480" w:firstLineChars="200"/>
        <w:rPr>
          <w:highlight w:val="none"/>
        </w:rPr>
      </w:pPr>
      <w:r>
        <w:rPr>
          <w:rFonts w:hint="eastAsia"/>
          <w:highlight w:val="none"/>
        </w:rPr>
        <w:t>本供应商在规定的报价有效期限内，将受</w:t>
      </w:r>
      <w:r>
        <w:rPr>
          <w:rFonts w:hint="eastAsia"/>
          <w:highlight w:val="none"/>
          <w:lang w:val="en-US" w:eastAsia="zh-CN"/>
        </w:rPr>
        <w:t>采购</w:t>
      </w:r>
      <w:r>
        <w:rPr>
          <w:rFonts w:hint="eastAsia"/>
          <w:highlight w:val="none"/>
        </w:rPr>
        <w:t xml:space="preserve">文件的约束并履行报价响应文件的承诺。 </w:t>
      </w:r>
    </w:p>
    <w:p>
      <w:pPr>
        <w:pStyle w:val="11"/>
        <w:spacing w:line="360" w:lineRule="auto"/>
        <w:ind w:firstLine="480" w:firstLineChars="200"/>
        <w:rPr>
          <w:highlight w:val="none"/>
        </w:rPr>
      </w:pPr>
      <w:r>
        <w:rPr>
          <w:rFonts w:hint="eastAsia"/>
          <w:highlight w:val="none"/>
        </w:rPr>
        <w:tab/>
      </w:r>
      <w:r>
        <w:rPr>
          <w:rFonts w:hint="eastAsia"/>
          <w:highlight w:val="none"/>
        </w:rPr>
        <w:t>供应商法定代表人（或法定代表人授权代表）签字：</w:t>
      </w:r>
    </w:p>
    <w:p>
      <w:pPr>
        <w:pStyle w:val="11"/>
        <w:spacing w:line="360" w:lineRule="auto"/>
        <w:ind w:firstLine="480" w:firstLineChars="200"/>
        <w:rPr>
          <w:highlight w:val="none"/>
        </w:rPr>
      </w:pPr>
      <w:r>
        <w:rPr>
          <w:rFonts w:hint="eastAsia"/>
          <w:highlight w:val="none"/>
        </w:rPr>
        <w:t>供应商名称（签章）：</w:t>
      </w:r>
    </w:p>
    <w:p>
      <w:pPr>
        <w:pStyle w:val="11"/>
        <w:spacing w:line="360" w:lineRule="auto"/>
        <w:ind w:firstLine="480" w:firstLineChars="200"/>
        <w:rPr>
          <w:highlight w:val="none"/>
        </w:rPr>
      </w:pPr>
      <w:r>
        <w:rPr>
          <w:rFonts w:hint="eastAsia"/>
          <w:highlight w:val="none"/>
        </w:rPr>
        <w:t xml:space="preserve">日 期 ：年 月 日 </w:t>
      </w:r>
    </w:p>
    <w:p>
      <w:pPr>
        <w:pStyle w:val="11"/>
        <w:spacing w:line="360" w:lineRule="auto"/>
        <w:ind w:firstLine="480" w:firstLineChars="200"/>
        <w:rPr>
          <w:highlight w:val="none"/>
        </w:rPr>
        <w:sectPr>
          <w:pgSz w:w="11910" w:h="16840"/>
          <w:pgMar w:top="1440" w:right="1080" w:bottom="1440" w:left="1080" w:header="0" w:footer="796" w:gutter="0"/>
          <w:cols w:space="720" w:num="1"/>
        </w:sectPr>
      </w:pPr>
    </w:p>
    <w:p>
      <w:pPr>
        <w:pStyle w:val="7"/>
        <w:ind w:left="521" w:right="321"/>
        <w:jc w:val="center"/>
        <w:rPr>
          <w:highlight w:val="none"/>
        </w:rPr>
      </w:pPr>
      <w:bookmarkStart w:id="501" w:name="_Toc19730"/>
      <w:bookmarkStart w:id="502" w:name="_Toc26883"/>
      <w:r>
        <w:rPr>
          <w:rFonts w:hint="eastAsia"/>
          <w:highlight w:val="none"/>
        </w:rPr>
        <w:t>三、商务部分</w:t>
      </w:r>
      <w:bookmarkEnd w:id="501"/>
      <w:bookmarkEnd w:id="502"/>
    </w:p>
    <w:p>
      <w:pPr>
        <w:pStyle w:val="11"/>
        <w:rPr>
          <w:b/>
          <w:sz w:val="20"/>
          <w:highlight w:val="none"/>
        </w:rPr>
      </w:pPr>
    </w:p>
    <w:p>
      <w:pPr>
        <w:pStyle w:val="11"/>
        <w:spacing w:before="3"/>
        <w:rPr>
          <w:b/>
          <w:sz w:val="18"/>
          <w:highlight w:val="none"/>
        </w:rPr>
      </w:pPr>
    </w:p>
    <w:p>
      <w:pPr>
        <w:spacing w:before="61"/>
        <w:ind w:left="477"/>
        <w:rPr>
          <w:b/>
          <w:sz w:val="39"/>
          <w:highlight w:val="none"/>
        </w:rPr>
      </w:pPr>
      <w:r>
        <w:rPr>
          <w:rFonts w:hint="eastAsia"/>
          <w:b/>
          <w:sz w:val="28"/>
          <w:highlight w:val="none"/>
        </w:rPr>
        <w:t>1、供应商综合概况</w:t>
      </w:r>
    </w:p>
    <w:p>
      <w:pPr>
        <w:pStyle w:val="8"/>
        <w:numPr>
          <w:ilvl w:val="0"/>
          <w:numId w:val="23"/>
        </w:numPr>
        <w:tabs>
          <w:tab w:val="left" w:pos="843"/>
        </w:tabs>
        <w:spacing w:after="3"/>
        <w:rPr>
          <w:highlight w:val="none"/>
        </w:rPr>
      </w:pPr>
      <w:r>
        <w:rPr>
          <w:rFonts w:hint="eastAsia"/>
          <w:highlight w:val="none"/>
        </w:rPr>
        <w:t>供应商情况介绍表</w:t>
      </w:r>
    </w:p>
    <w:tbl>
      <w:tblPr>
        <w:tblStyle w:val="25"/>
        <w:tblW w:w="99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8"/>
        <w:gridCol w:w="1312"/>
        <w:gridCol w:w="1633"/>
        <w:gridCol w:w="1373"/>
        <w:gridCol w:w="1431"/>
        <w:gridCol w:w="28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tcBorders>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单位名称 </w:t>
            </w:r>
          </w:p>
        </w:tc>
        <w:tc>
          <w:tcPr>
            <w:tcW w:w="8620" w:type="dxa"/>
            <w:gridSpan w:val="5"/>
            <w:tcBorders>
              <w:left w:val="single" w:color="000000" w:sz="6" w:space="0"/>
              <w:bottom w:val="single" w:color="000000" w:sz="6" w:space="0"/>
            </w:tcBorders>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tcBorders>
              <w:top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地址 </w:t>
            </w:r>
          </w:p>
        </w:tc>
        <w:tc>
          <w:tcPr>
            <w:tcW w:w="8620" w:type="dxa"/>
            <w:gridSpan w:val="5"/>
            <w:tcBorders>
              <w:top w:val="single" w:color="000000" w:sz="6" w:space="0"/>
              <w:left w:val="single" w:color="000000" w:sz="6" w:space="0"/>
              <w:bottom w:val="single" w:color="000000" w:sz="6" w:space="0"/>
            </w:tcBorders>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tcBorders>
              <w:top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主管部门 </w:t>
            </w:r>
          </w:p>
        </w:tc>
        <w:tc>
          <w:tcPr>
            <w:tcW w:w="1312"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p>
        </w:tc>
        <w:tc>
          <w:tcPr>
            <w:tcW w:w="1633"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法人代表</w:t>
            </w:r>
          </w:p>
        </w:tc>
        <w:tc>
          <w:tcPr>
            <w:tcW w:w="1373"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p>
        </w:tc>
        <w:tc>
          <w:tcPr>
            <w:tcW w:w="1431"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职务</w:t>
            </w:r>
          </w:p>
        </w:tc>
        <w:tc>
          <w:tcPr>
            <w:tcW w:w="2871" w:type="dxa"/>
            <w:tcBorders>
              <w:top w:val="single" w:color="000000" w:sz="6" w:space="0"/>
              <w:left w:val="single" w:color="000000" w:sz="6" w:space="0"/>
              <w:bottom w:val="single" w:color="000000" w:sz="6" w:space="0"/>
            </w:tcBorders>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tcBorders>
              <w:top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经济类型 </w:t>
            </w:r>
          </w:p>
        </w:tc>
        <w:tc>
          <w:tcPr>
            <w:tcW w:w="1312"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p>
        </w:tc>
        <w:tc>
          <w:tcPr>
            <w:tcW w:w="1633"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授权代表</w:t>
            </w:r>
          </w:p>
        </w:tc>
        <w:tc>
          <w:tcPr>
            <w:tcW w:w="1373"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p>
        </w:tc>
        <w:tc>
          <w:tcPr>
            <w:tcW w:w="1431"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职务</w:t>
            </w:r>
          </w:p>
        </w:tc>
        <w:tc>
          <w:tcPr>
            <w:tcW w:w="2871" w:type="dxa"/>
            <w:tcBorders>
              <w:top w:val="single" w:color="000000" w:sz="6" w:space="0"/>
              <w:left w:val="single" w:color="000000" w:sz="6" w:space="0"/>
              <w:bottom w:val="single" w:color="000000" w:sz="6" w:space="0"/>
            </w:tcBorders>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tcBorders>
              <w:top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邮编 </w:t>
            </w:r>
          </w:p>
        </w:tc>
        <w:tc>
          <w:tcPr>
            <w:tcW w:w="1312"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p>
        </w:tc>
        <w:tc>
          <w:tcPr>
            <w:tcW w:w="1633"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电话</w:t>
            </w:r>
          </w:p>
        </w:tc>
        <w:tc>
          <w:tcPr>
            <w:tcW w:w="1373"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p>
        </w:tc>
        <w:tc>
          <w:tcPr>
            <w:tcW w:w="1431"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传真</w:t>
            </w:r>
          </w:p>
        </w:tc>
        <w:tc>
          <w:tcPr>
            <w:tcW w:w="2871" w:type="dxa"/>
            <w:tcBorders>
              <w:top w:val="single" w:color="000000" w:sz="6" w:space="0"/>
              <w:left w:val="single" w:color="000000" w:sz="6" w:space="0"/>
              <w:bottom w:val="single" w:color="000000" w:sz="6" w:space="0"/>
            </w:tcBorders>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7" w:hRule="atLeast"/>
          <w:jc w:val="center"/>
        </w:trPr>
        <w:tc>
          <w:tcPr>
            <w:tcW w:w="1288" w:type="dxa"/>
            <w:tcBorders>
              <w:top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单位简介及机构设置 </w:t>
            </w:r>
          </w:p>
        </w:tc>
        <w:tc>
          <w:tcPr>
            <w:tcW w:w="8620" w:type="dxa"/>
            <w:gridSpan w:val="5"/>
            <w:tcBorders>
              <w:top w:val="single" w:color="000000" w:sz="6" w:space="0"/>
              <w:left w:val="single" w:color="000000" w:sz="6" w:space="0"/>
              <w:bottom w:val="single" w:color="000000" w:sz="6" w:space="0"/>
            </w:tcBorders>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vMerge w:val="restart"/>
            <w:tcBorders>
              <w:top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单位概况</w:t>
            </w:r>
          </w:p>
        </w:tc>
        <w:tc>
          <w:tcPr>
            <w:tcW w:w="1312"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注册资本 </w:t>
            </w:r>
          </w:p>
        </w:tc>
        <w:tc>
          <w:tcPr>
            <w:tcW w:w="1633" w:type="dxa"/>
            <w:tcBorders>
              <w:top w:val="single" w:color="000000" w:sz="6" w:space="0"/>
              <w:left w:val="single" w:color="000000" w:sz="6" w:space="0"/>
              <w:bottom w:val="single" w:color="000000" w:sz="6" w:space="0"/>
              <w:right w:val="single" w:color="000000" w:sz="6" w:space="0"/>
            </w:tcBorders>
            <w:vAlign w:val="center"/>
          </w:tcPr>
          <w:p>
            <w:pPr>
              <w:pStyle w:val="35"/>
              <w:jc w:val="right"/>
              <w:rPr>
                <w:sz w:val="24"/>
                <w:highlight w:val="none"/>
              </w:rPr>
            </w:pPr>
            <w:r>
              <w:rPr>
                <w:rFonts w:hint="eastAsia"/>
                <w:sz w:val="24"/>
                <w:highlight w:val="none"/>
              </w:rPr>
              <w:t>万元</w:t>
            </w:r>
          </w:p>
        </w:tc>
        <w:tc>
          <w:tcPr>
            <w:tcW w:w="1373" w:type="dxa"/>
            <w:tcBorders>
              <w:top w:val="single" w:color="000000" w:sz="6" w:space="0"/>
              <w:left w:val="single" w:color="000000" w:sz="6" w:space="0"/>
              <w:bottom w:val="single" w:color="000000" w:sz="6" w:space="0"/>
              <w:right w:val="single" w:color="000000" w:sz="6" w:space="0"/>
            </w:tcBorders>
            <w:vAlign w:val="center"/>
          </w:tcPr>
          <w:p>
            <w:pPr>
              <w:pStyle w:val="35"/>
              <w:rPr>
                <w:sz w:val="24"/>
                <w:highlight w:val="none"/>
              </w:rPr>
            </w:pPr>
            <w:r>
              <w:rPr>
                <w:rFonts w:hint="eastAsia"/>
                <w:sz w:val="24"/>
                <w:highlight w:val="none"/>
              </w:rPr>
              <w:t xml:space="preserve">占地面积 </w:t>
            </w:r>
          </w:p>
        </w:tc>
        <w:tc>
          <w:tcPr>
            <w:tcW w:w="4302" w:type="dxa"/>
            <w:gridSpan w:val="2"/>
            <w:tcBorders>
              <w:top w:val="single" w:color="000000" w:sz="6" w:space="0"/>
              <w:left w:val="single" w:color="000000" w:sz="6" w:space="0"/>
              <w:bottom w:val="single" w:color="000000" w:sz="6" w:space="0"/>
            </w:tcBorders>
            <w:vAlign w:val="center"/>
          </w:tcPr>
          <w:p>
            <w:pPr>
              <w:pStyle w:val="35"/>
              <w:jc w:val="right"/>
              <w:rPr>
                <w:sz w:val="12"/>
                <w:highlight w:val="none"/>
              </w:rPr>
            </w:pPr>
            <w:r>
              <w:rPr>
                <w:rFonts w:hint="eastAsia"/>
                <w:position w:val="-11"/>
                <w:sz w:val="24"/>
                <w:highlight w:val="none"/>
              </w:rPr>
              <w:t>M</w:t>
            </w:r>
            <w:r>
              <w:rPr>
                <w:rFonts w:hint="eastAsia"/>
                <w:sz w:val="12"/>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1288" w:type="dxa"/>
            <w:vMerge w:val="continue"/>
            <w:tcBorders>
              <w:top w:val="nil"/>
              <w:bottom w:val="single" w:color="000000" w:sz="6" w:space="0"/>
              <w:right w:val="single" w:color="000000" w:sz="6" w:space="0"/>
            </w:tcBorders>
            <w:vAlign w:val="center"/>
          </w:tcPr>
          <w:p>
            <w:pPr>
              <w:jc w:val="center"/>
              <w:rPr>
                <w:sz w:val="2"/>
                <w:szCs w:val="2"/>
                <w:highlight w:val="none"/>
              </w:rPr>
            </w:pPr>
          </w:p>
        </w:tc>
        <w:tc>
          <w:tcPr>
            <w:tcW w:w="1312" w:type="dxa"/>
            <w:tcBorders>
              <w:top w:val="single" w:color="000000" w:sz="6" w:space="0"/>
              <w:left w:val="single" w:color="000000" w:sz="6" w:space="0"/>
              <w:bottom w:val="single" w:color="000000" w:sz="6" w:space="0"/>
              <w:right w:val="single" w:color="000000" w:sz="6" w:space="0"/>
            </w:tcBorders>
            <w:vAlign w:val="center"/>
          </w:tcPr>
          <w:p>
            <w:pPr>
              <w:pStyle w:val="35"/>
              <w:jc w:val="center"/>
              <w:rPr>
                <w:sz w:val="24"/>
                <w:highlight w:val="none"/>
              </w:rPr>
            </w:pPr>
            <w:r>
              <w:rPr>
                <w:rFonts w:hint="eastAsia"/>
                <w:sz w:val="24"/>
                <w:highlight w:val="none"/>
              </w:rPr>
              <w:t xml:space="preserve">职工总数 </w:t>
            </w:r>
          </w:p>
        </w:tc>
        <w:tc>
          <w:tcPr>
            <w:tcW w:w="1633" w:type="dxa"/>
            <w:tcBorders>
              <w:top w:val="single" w:color="000000" w:sz="6" w:space="0"/>
              <w:left w:val="single" w:color="000000" w:sz="6" w:space="0"/>
              <w:bottom w:val="single" w:color="000000" w:sz="6" w:space="0"/>
              <w:right w:val="single" w:color="000000" w:sz="6" w:space="0"/>
            </w:tcBorders>
            <w:vAlign w:val="center"/>
          </w:tcPr>
          <w:p>
            <w:pPr>
              <w:pStyle w:val="35"/>
              <w:jc w:val="right"/>
              <w:rPr>
                <w:sz w:val="24"/>
                <w:highlight w:val="none"/>
              </w:rPr>
            </w:pPr>
            <w:r>
              <w:rPr>
                <w:rFonts w:hint="eastAsia"/>
                <w:sz w:val="24"/>
                <w:highlight w:val="none"/>
              </w:rPr>
              <w:t>人</w:t>
            </w:r>
          </w:p>
        </w:tc>
        <w:tc>
          <w:tcPr>
            <w:tcW w:w="1373" w:type="dxa"/>
            <w:tcBorders>
              <w:top w:val="single" w:color="000000" w:sz="6" w:space="0"/>
              <w:left w:val="single" w:color="000000" w:sz="6" w:space="0"/>
              <w:bottom w:val="single" w:color="000000" w:sz="6" w:space="0"/>
              <w:right w:val="single" w:color="000000" w:sz="6" w:space="0"/>
            </w:tcBorders>
            <w:vAlign w:val="center"/>
          </w:tcPr>
          <w:p>
            <w:pPr>
              <w:pStyle w:val="35"/>
              <w:rPr>
                <w:sz w:val="24"/>
                <w:highlight w:val="none"/>
              </w:rPr>
            </w:pPr>
            <w:r>
              <w:rPr>
                <w:rFonts w:hint="eastAsia"/>
                <w:sz w:val="24"/>
                <w:highlight w:val="none"/>
              </w:rPr>
              <w:t xml:space="preserve">建筑面积 </w:t>
            </w:r>
          </w:p>
        </w:tc>
        <w:tc>
          <w:tcPr>
            <w:tcW w:w="4302" w:type="dxa"/>
            <w:gridSpan w:val="2"/>
            <w:tcBorders>
              <w:top w:val="single" w:color="000000" w:sz="6" w:space="0"/>
              <w:left w:val="single" w:color="000000" w:sz="6" w:space="0"/>
              <w:bottom w:val="single" w:color="000000" w:sz="6" w:space="0"/>
            </w:tcBorders>
            <w:vAlign w:val="center"/>
          </w:tcPr>
          <w:p>
            <w:pPr>
              <w:pStyle w:val="35"/>
              <w:jc w:val="right"/>
              <w:rPr>
                <w:sz w:val="12"/>
                <w:highlight w:val="none"/>
              </w:rPr>
            </w:pPr>
            <w:r>
              <w:rPr>
                <w:rFonts w:hint="eastAsia"/>
                <w:position w:val="-11"/>
                <w:sz w:val="24"/>
                <w:highlight w:val="none"/>
              </w:rPr>
              <w:t>M</w:t>
            </w:r>
            <w:r>
              <w:rPr>
                <w:rFonts w:hint="eastAsia"/>
                <w:sz w:val="12"/>
                <w:highlight w:val="none"/>
              </w:rPr>
              <w:t>2</w:t>
            </w:r>
          </w:p>
        </w:tc>
      </w:tr>
    </w:tbl>
    <w:p>
      <w:pPr>
        <w:pStyle w:val="34"/>
        <w:tabs>
          <w:tab w:val="left" w:pos="1200"/>
        </w:tabs>
        <w:spacing w:line="400" w:lineRule="exact"/>
        <w:ind w:left="0" w:firstLine="440" w:firstLineChars="200"/>
        <w:rPr>
          <w:sz w:val="24"/>
          <w:highlight w:val="none"/>
        </w:rPr>
      </w:pPr>
      <w:r>
        <w:rPr>
          <w:rFonts w:hint="eastAsia"/>
          <w:highlight w:val="none"/>
        </w:rPr>
        <w:t>注：1）</w:t>
      </w:r>
      <w:r>
        <w:rPr>
          <w:rFonts w:hint="eastAsia"/>
          <w:spacing w:val="8"/>
          <w:sz w:val="24"/>
          <w:highlight w:val="none"/>
        </w:rPr>
        <w:t>如响应供应商此表数据有虚假，一经查实，自行承担相关责任。</w:t>
      </w:r>
    </w:p>
    <w:p>
      <w:pPr>
        <w:pStyle w:val="34"/>
        <w:tabs>
          <w:tab w:val="left" w:pos="1388"/>
        </w:tabs>
        <w:spacing w:line="400" w:lineRule="exact"/>
        <w:ind w:left="440" w:leftChars="200" w:firstLine="0"/>
        <w:rPr>
          <w:sz w:val="28"/>
          <w:highlight w:val="none"/>
        </w:rPr>
      </w:pPr>
      <w:r>
        <w:rPr>
          <w:rFonts w:hint="eastAsia"/>
          <w:spacing w:val="17"/>
          <w:sz w:val="24"/>
          <w:highlight w:val="none"/>
          <w:lang w:val="en-US" w:eastAsia="zh-CN"/>
        </w:rPr>
        <w:t>2）</w:t>
      </w:r>
      <w:r>
        <w:rPr>
          <w:rFonts w:hint="eastAsia"/>
          <w:spacing w:val="17"/>
          <w:sz w:val="24"/>
          <w:highlight w:val="none"/>
        </w:rPr>
        <w:t>必须提供由社保或税务部门出具的该供应商社保名册或缴纳个人所得税的</w:t>
      </w:r>
      <w:r>
        <w:rPr>
          <w:rFonts w:hint="eastAsia"/>
          <w:spacing w:val="18"/>
          <w:sz w:val="24"/>
          <w:highlight w:val="none"/>
        </w:rPr>
        <w:t>证明文件。</w:t>
      </w:r>
    </w:p>
    <w:p>
      <w:pPr>
        <w:pStyle w:val="34"/>
        <w:numPr>
          <w:ilvl w:val="1"/>
          <w:numId w:val="23"/>
        </w:numPr>
        <w:tabs>
          <w:tab w:val="left" w:pos="1183"/>
        </w:tabs>
        <w:spacing w:before="42" w:after="4"/>
        <w:rPr>
          <w:b/>
          <w:sz w:val="28"/>
          <w:highlight w:val="none"/>
        </w:rPr>
      </w:pPr>
      <w:r>
        <w:rPr>
          <w:rFonts w:hint="eastAsia"/>
          <w:b/>
          <w:sz w:val="24"/>
          <w:szCs w:val="24"/>
          <w:highlight w:val="none"/>
        </w:rPr>
        <w:t>同类项目业绩介绍</w:t>
      </w:r>
    </w:p>
    <w:tbl>
      <w:tblPr>
        <w:tblStyle w:val="25"/>
        <w:tblW w:w="97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0"/>
        <w:gridCol w:w="2009"/>
        <w:gridCol w:w="3635"/>
        <w:gridCol w:w="1386"/>
        <w:gridCol w:w="18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shd w:val="clear" w:color="auto" w:fill="auto"/>
            <w:vAlign w:val="center"/>
          </w:tcPr>
          <w:p>
            <w:pPr>
              <w:pStyle w:val="35"/>
              <w:jc w:val="center"/>
              <w:rPr>
                <w:b/>
                <w:sz w:val="24"/>
                <w:highlight w:val="none"/>
              </w:rPr>
            </w:pPr>
            <w:r>
              <w:rPr>
                <w:rFonts w:hint="eastAsia"/>
                <w:b/>
                <w:sz w:val="24"/>
                <w:highlight w:val="none"/>
              </w:rPr>
              <w:t>序号</w:t>
            </w:r>
          </w:p>
        </w:tc>
        <w:tc>
          <w:tcPr>
            <w:tcW w:w="2009" w:type="dxa"/>
            <w:shd w:val="clear" w:color="auto" w:fill="auto"/>
            <w:vAlign w:val="center"/>
          </w:tcPr>
          <w:p>
            <w:pPr>
              <w:pStyle w:val="35"/>
              <w:jc w:val="center"/>
              <w:rPr>
                <w:b/>
                <w:sz w:val="24"/>
                <w:highlight w:val="none"/>
              </w:rPr>
            </w:pPr>
            <w:r>
              <w:rPr>
                <w:rFonts w:hint="eastAsia"/>
                <w:b/>
                <w:sz w:val="24"/>
                <w:highlight w:val="none"/>
              </w:rPr>
              <w:t>客户名称</w:t>
            </w:r>
          </w:p>
        </w:tc>
        <w:tc>
          <w:tcPr>
            <w:tcW w:w="3635" w:type="dxa"/>
            <w:shd w:val="clear" w:color="auto" w:fill="auto"/>
            <w:vAlign w:val="center"/>
          </w:tcPr>
          <w:p>
            <w:pPr>
              <w:pStyle w:val="35"/>
              <w:jc w:val="center"/>
              <w:rPr>
                <w:b/>
                <w:sz w:val="24"/>
                <w:highlight w:val="none"/>
              </w:rPr>
            </w:pPr>
            <w:r>
              <w:rPr>
                <w:rFonts w:hint="eastAsia"/>
                <w:b/>
                <w:sz w:val="24"/>
                <w:highlight w:val="none"/>
              </w:rPr>
              <w:t>项目名称及合同金额（万元）</w:t>
            </w:r>
          </w:p>
        </w:tc>
        <w:tc>
          <w:tcPr>
            <w:tcW w:w="1386" w:type="dxa"/>
            <w:shd w:val="clear" w:color="auto" w:fill="auto"/>
            <w:vAlign w:val="center"/>
          </w:tcPr>
          <w:p>
            <w:pPr>
              <w:pStyle w:val="35"/>
              <w:jc w:val="center"/>
              <w:rPr>
                <w:b/>
                <w:sz w:val="24"/>
                <w:highlight w:val="none"/>
              </w:rPr>
            </w:pPr>
            <w:r>
              <w:rPr>
                <w:rFonts w:hint="eastAsia"/>
                <w:b/>
                <w:sz w:val="24"/>
                <w:highlight w:val="none"/>
              </w:rPr>
              <w:t>竣工时间</w:t>
            </w:r>
          </w:p>
        </w:tc>
        <w:tc>
          <w:tcPr>
            <w:tcW w:w="1836" w:type="dxa"/>
            <w:shd w:val="clear" w:color="auto" w:fill="auto"/>
            <w:vAlign w:val="center"/>
          </w:tcPr>
          <w:p>
            <w:pPr>
              <w:pStyle w:val="35"/>
              <w:jc w:val="center"/>
              <w:rPr>
                <w:b/>
                <w:sz w:val="24"/>
                <w:highlight w:val="none"/>
              </w:rPr>
            </w:pPr>
            <w:r>
              <w:rPr>
                <w:rFonts w:hint="eastAsia"/>
                <w:b/>
                <w:sz w:val="24"/>
                <w:highlight w:val="none"/>
              </w:rPr>
              <w:t>联系人及电话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shd w:val="clear" w:color="auto" w:fill="auto"/>
            <w:vAlign w:val="center"/>
          </w:tcPr>
          <w:p>
            <w:pPr>
              <w:pStyle w:val="35"/>
              <w:jc w:val="center"/>
              <w:rPr>
                <w:sz w:val="28"/>
                <w:highlight w:val="none"/>
              </w:rPr>
            </w:pPr>
            <w:r>
              <w:rPr>
                <w:rFonts w:hint="eastAsia"/>
                <w:sz w:val="28"/>
                <w:highlight w:val="none"/>
              </w:rPr>
              <w:t xml:space="preserve">1 </w:t>
            </w:r>
          </w:p>
        </w:tc>
        <w:tc>
          <w:tcPr>
            <w:tcW w:w="2009" w:type="dxa"/>
            <w:shd w:val="clear" w:color="auto" w:fill="auto"/>
            <w:vAlign w:val="center"/>
          </w:tcPr>
          <w:p>
            <w:pPr>
              <w:pStyle w:val="35"/>
              <w:jc w:val="center"/>
              <w:rPr>
                <w:sz w:val="28"/>
                <w:highlight w:val="none"/>
              </w:rPr>
            </w:pPr>
          </w:p>
        </w:tc>
        <w:tc>
          <w:tcPr>
            <w:tcW w:w="3635" w:type="dxa"/>
            <w:shd w:val="clear" w:color="auto" w:fill="auto"/>
            <w:vAlign w:val="center"/>
          </w:tcPr>
          <w:p>
            <w:pPr>
              <w:pStyle w:val="35"/>
              <w:jc w:val="center"/>
              <w:rPr>
                <w:sz w:val="28"/>
                <w:highlight w:val="none"/>
              </w:rPr>
            </w:pPr>
          </w:p>
        </w:tc>
        <w:tc>
          <w:tcPr>
            <w:tcW w:w="1386" w:type="dxa"/>
            <w:shd w:val="clear" w:color="auto" w:fill="auto"/>
            <w:vAlign w:val="center"/>
          </w:tcPr>
          <w:p>
            <w:pPr>
              <w:pStyle w:val="35"/>
              <w:jc w:val="center"/>
              <w:rPr>
                <w:sz w:val="28"/>
                <w:highlight w:val="none"/>
              </w:rPr>
            </w:pPr>
          </w:p>
        </w:tc>
        <w:tc>
          <w:tcPr>
            <w:tcW w:w="1836" w:type="dxa"/>
            <w:shd w:val="clear" w:color="auto" w:fill="auto"/>
            <w:vAlign w:val="center"/>
          </w:tcPr>
          <w:p>
            <w:pPr>
              <w:pStyle w:val="35"/>
              <w:jc w:val="center"/>
              <w:rPr>
                <w:sz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shd w:val="clear" w:color="auto" w:fill="auto"/>
            <w:vAlign w:val="center"/>
          </w:tcPr>
          <w:p>
            <w:pPr>
              <w:pStyle w:val="35"/>
              <w:jc w:val="center"/>
              <w:rPr>
                <w:sz w:val="28"/>
                <w:highlight w:val="none"/>
              </w:rPr>
            </w:pPr>
            <w:r>
              <w:rPr>
                <w:rFonts w:hint="eastAsia"/>
                <w:sz w:val="28"/>
                <w:highlight w:val="none"/>
              </w:rPr>
              <w:t xml:space="preserve">2 </w:t>
            </w:r>
          </w:p>
        </w:tc>
        <w:tc>
          <w:tcPr>
            <w:tcW w:w="2009" w:type="dxa"/>
            <w:shd w:val="clear" w:color="auto" w:fill="auto"/>
            <w:vAlign w:val="center"/>
          </w:tcPr>
          <w:p>
            <w:pPr>
              <w:pStyle w:val="35"/>
              <w:jc w:val="center"/>
              <w:rPr>
                <w:sz w:val="28"/>
                <w:highlight w:val="none"/>
              </w:rPr>
            </w:pPr>
          </w:p>
        </w:tc>
        <w:tc>
          <w:tcPr>
            <w:tcW w:w="3635" w:type="dxa"/>
            <w:shd w:val="clear" w:color="auto" w:fill="auto"/>
            <w:vAlign w:val="center"/>
          </w:tcPr>
          <w:p>
            <w:pPr>
              <w:pStyle w:val="35"/>
              <w:jc w:val="center"/>
              <w:rPr>
                <w:sz w:val="28"/>
                <w:highlight w:val="none"/>
              </w:rPr>
            </w:pPr>
          </w:p>
        </w:tc>
        <w:tc>
          <w:tcPr>
            <w:tcW w:w="1386" w:type="dxa"/>
            <w:shd w:val="clear" w:color="auto" w:fill="auto"/>
            <w:vAlign w:val="center"/>
          </w:tcPr>
          <w:p>
            <w:pPr>
              <w:pStyle w:val="35"/>
              <w:jc w:val="center"/>
              <w:rPr>
                <w:b/>
                <w:sz w:val="28"/>
                <w:highlight w:val="none"/>
              </w:rPr>
            </w:pPr>
          </w:p>
        </w:tc>
        <w:tc>
          <w:tcPr>
            <w:tcW w:w="1836" w:type="dxa"/>
            <w:shd w:val="clear" w:color="auto" w:fill="auto"/>
            <w:vAlign w:val="center"/>
          </w:tcPr>
          <w:p>
            <w:pPr>
              <w:pStyle w:val="35"/>
              <w:jc w:val="center"/>
              <w:rPr>
                <w:sz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890" w:type="dxa"/>
            <w:shd w:val="clear" w:color="auto" w:fill="auto"/>
            <w:vAlign w:val="center"/>
          </w:tcPr>
          <w:p>
            <w:pPr>
              <w:pStyle w:val="35"/>
              <w:jc w:val="center"/>
              <w:rPr>
                <w:sz w:val="28"/>
                <w:highlight w:val="none"/>
              </w:rPr>
            </w:pPr>
            <w:r>
              <w:rPr>
                <w:rFonts w:hint="eastAsia"/>
                <w:sz w:val="28"/>
                <w:highlight w:val="none"/>
              </w:rPr>
              <w:t xml:space="preserve">3 </w:t>
            </w:r>
          </w:p>
        </w:tc>
        <w:tc>
          <w:tcPr>
            <w:tcW w:w="2009" w:type="dxa"/>
            <w:shd w:val="clear" w:color="auto" w:fill="auto"/>
            <w:vAlign w:val="center"/>
          </w:tcPr>
          <w:p>
            <w:pPr>
              <w:pStyle w:val="35"/>
              <w:jc w:val="center"/>
              <w:rPr>
                <w:sz w:val="28"/>
                <w:highlight w:val="none"/>
              </w:rPr>
            </w:pPr>
          </w:p>
        </w:tc>
        <w:tc>
          <w:tcPr>
            <w:tcW w:w="3635" w:type="dxa"/>
            <w:shd w:val="clear" w:color="auto" w:fill="auto"/>
            <w:vAlign w:val="center"/>
          </w:tcPr>
          <w:p>
            <w:pPr>
              <w:pStyle w:val="35"/>
              <w:jc w:val="center"/>
              <w:rPr>
                <w:sz w:val="28"/>
                <w:highlight w:val="none"/>
              </w:rPr>
            </w:pPr>
          </w:p>
        </w:tc>
        <w:tc>
          <w:tcPr>
            <w:tcW w:w="1386" w:type="dxa"/>
            <w:shd w:val="clear" w:color="auto" w:fill="auto"/>
            <w:vAlign w:val="center"/>
          </w:tcPr>
          <w:p>
            <w:pPr>
              <w:pStyle w:val="35"/>
              <w:jc w:val="center"/>
              <w:rPr>
                <w:sz w:val="28"/>
                <w:highlight w:val="none"/>
              </w:rPr>
            </w:pPr>
          </w:p>
        </w:tc>
        <w:tc>
          <w:tcPr>
            <w:tcW w:w="1836" w:type="dxa"/>
            <w:shd w:val="clear" w:color="auto" w:fill="auto"/>
            <w:vAlign w:val="center"/>
          </w:tcPr>
          <w:p>
            <w:pPr>
              <w:pStyle w:val="35"/>
              <w:jc w:val="center"/>
              <w:rPr>
                <w:sz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shd w:val="clear" w:color="auto" w:fill="auto"/>
            <w:vAlign w:val="center"/>
          </w:tcPr>
          <w:p>
            <w:pPr>
              <w:pStyle w:val="35"/>
              <w:jc w:val="center"/>
              <w:rPr>
                <w:sz w:val="28"/>
                <w:highlight w:val="none"/>
              </w:rPr>
            </w:pPr>
            <w:r>
              <w:rPr>
                <w:rFonts w:hint="eastAsia"/>
                <w:w w:val="200"/>
                <w:sz w:val="28"/>
                <w:highlight w:val="none"/>
              </w:rPr>
              <w:t>„</w:t>
            </w:r>
          </w:p>
        </w:tc>
        <w:tc>
          <w:tcPr>
            <w:tcW w:w="2009" w:type="dxa"/>
            <w:shd w:val="clear" w:color="auto" w:fill="auto"/>
            <w:vAlign w:val="center"/>
          </w:tcPr>
          <w:p>
            <w:pPr>
              <w:pStyle w:val="35"/>
              <w:jc w:val="center"/>
              <w:rPr>
                <w:sz w:val="28"/>
                <w:highlight w:val="none"/>
              </w:rPr>
            </w:pPr>
          </w:p>
        </w:tc>
        <w:tc>
          <w:tcPr>
            <w:tcW w:w="3635" w:type="dxa"/>
            <w:shd w:val="clear" w:color="auto" w:fill="auto"/>
            <w:vAlign w:val="center"/>
          </w:tcPr>
          <w:p>
            <w:pPr>
              <w:pStyle w:val="35"/>
              <w:jc w:val="center"/>
              <w:rPr>
                <w:sz w:val="28"/>
                <w:highlight w:val="none"/>
              </w:rPr>
            </w:pPr>
          </w:p>
        </w:tc>
        <w:tc>
          <w:tcPr>
            <w:tcW w:w="1386" w:type="dxa"/>
            <w:shd w:val="clear" w:color="auto" w:fill="auto"/>
            <w:vAlign w:val="center"/>
          </w:tcPr>
          <w:p>
            <w:pPr>
              <w:pStyle w:val="35"/>
              <w:jc w:val="center"/>
              <w:rPr>
                <w:sz w:val="28"/>
                <w:highlight w:val="none"/>
              </w:rPr>
            </w:pPr>
          </w:p>
        </w:tc>
        <w:tc>
          <w:tcPr>
            <w:tcW w:w="1836" w:type="dxa"/>
            <w:shd w:val="clear" w:color="auto" w:fill="auto"/>
            <w:vAlign w:val="center"/>
          </w:tcPr>
          <w:p>
            <w:pPr>
              <w:pStyle w:val="35"/>
              <w:jc w:val="center"/>
              <w:rPr>
                <w:sz w:val="28"/>
                <w:highlight w:val="none"/>
              </w:rPr>
            </w:pPr>
          </w:p>
        </w:tc>
      </w:tr>
    </w:tbl>
    <w:p>
      <w:pPr>
        <w:pStyle w:val="11"/>
        <w:spacing w:line="364" w:lineRule="auto"/>
        <w:ind w:left="477" w:right="418"/>
        <w:rPr>
          <w:spacing w:val="-5"/>
          <w:highlight w:val="none"/>
        </w:rPr>
      </w:pPr>
      <w:r>
        <w:rPr>
          <w:rFonts w:hint="eastAsia"/>
          <w:sz w:val="28"/>
          <w:highlight w:val="none"/>
        </w:rPr>
        <w:t>注：</w:t>
      </w:r>
      <w:r>
        <w:rPr>
          <w:rFonts w:hint="eastAsia"/>
          <w:spacing w:val="-5"/>
          <w:highlight w:val="none"/>
        </w:rPr>
        <w:t>供应商提供中标通知书、合同协议书等复印件并加盖公章。</w:t>
      </w:r>
    </w:p>
    <w:p>
      <w:pPr>
        <w:pStyle w:val="11"/>
        <w:spacing w:line="364" w:lineRule="auto"/>
        <w:ind w:left="477" w:right="418"/>
        <w:rPr>
          <w:sz w:val="28"/>
          <w:highlight w:val="none"/>
        </w:rPr>
      </w:pPr>
      <w:r>
        <w:rPr>
          <w:rFonts w:hint="eastAsia"/>
          <w:b/>
          <w:bCs/>
          <w:highlight w:val="none"/>
        </w:rPr>
        <w:t>（</w:t>
      </w:r>
      <w:r>
        <w:rPr>
          <w:rFonts w:hint="eastAsia"/>
          <w:b/>
          <w:bCs/>
          <w:spacing w:val="-2"/>
          <w:highlight w:val="none"/>
        </w:rPr>
        <w:t>评分表中另有约定的</w:t>
      </w:r>
      <w:r>
        <w:rPr>
          <w:rFonts w:hint="eastAsia"/>
          <w:b/>
          <w:bCs/>
          <w:spacing w:val="-2"/>
          <w:highlight w:val="none"/>
          <w:lang w:eastAsia="zh-CN"/>
        </w:rPr>
        <w:t>按</w:t>
      </w:r>
      <w:r>
        <w:rPr>
          <w:rFonts w:hint="eastAsia"/>
          <w:b/>
          <w:bCs/>
          <w:spacing w:val="-2"/>
          <w:highlight w:val="none"/>
        </w:rPr>
        <w:t>其约</w:t>
      </w:r>
      <w:r>
        <w:rPr>
          <w:rFonts w:hint="eastAsia"/>
          <w:b/>
          <w:bCs/>
          <w:highlight w:val="none"/>
        </w:rPr>
        <w:t>定</w:t>
      </w:r>
      <w:r>
        <w:rPr>
          <w:rFonts w:hint="eastAsia"/>
          <w:b/>
          <w:bCs/>
          <w:spacing w:val="-120"/>
          <w:highlight w:val="none"/>
        </w:rPr>
        <w:t>）</w:t>
      </w:r>
      <w:r>
        <w:rPr>
          <w:rFonts w:hint="eastAsia"/>
          <w:b/>
          <w:bCs/>
          <w:highlight w:val="none"/>
        </w:rPr>
        <w:t>。</w:t>
      </w:r>
    </w:p>
    <w:p>
      <w:pPr>
        <w:pStyle w:val="7"/>
        <w:numPr>
          <w:ilvl w:val="1"/>
          <w:numId w:val="23"/>
        </w:numPr>
        <w:tabs>
          <w:tab w:val="left" w:pos="1183"/>
        </w:tabs>
        <w:spacing w:before="83"/>
        <w:rPr>
          <w:highlight w:val="none"/>
        </w:rPr>
      </w:pPr>
      <w:r>
        <w:rPr>
          <w:rFonts w:hint="eastAsia"/>
          <w:sz w:val="24"/>
          <w:szCs w:val="24"/>
          <w:highlight w:val="none"/>
        </w:rPr>
        <w:t>拟任执行管理及技术人员情况</w:t>
      </w:r>
    </w:p>
    <w:p>
      <w:pPr>
        <w:pStyle w:val="11"/>
        <w:spacing w:before="7"/>
        <w:rPr>
          <w:b/>
          <w:sz w:val="9"/>
          <w:highlight w:val="none"/>
        </w:rPr>
      </w:pPr>
    </w:p>
    <w:tbl>
      <w:tblPr>
        <w:tblStyle w:val="25"/>
        <w:tblW w:w="99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8"/>
        <w:gridCol w:w="1389"/>
        <w:gridCol w:w="962"/>
        <w:gridCol w:w="2612"/>
        <w:gridCol w:w="1028"/>
        <w:gridCol w:w="686"/>
        <w:gridCol w:w="19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4" w:hRule="atLeast"/>
          <w:jc w:val="center"/>
        </w:trPr>
        <w:tc>
          <w:tcPr>
            <w:tcW w:w="1338" w:type="dxa"/>
            <w:shd w:val="clear" w:color="auto" w:fill="auto"/>
            <w:vAlign w:val="center"/>
          </w:tcPr>
          <w:p>
            <w:pPr>
              <w:pStyle w:val="35"/>
              <w:jc w:val="center"/>
              <w:rPr>
                <w:b/>
                <w:sz w:val="24"/>
                <w:highlight w:val="none"/>
              </w:rPr>
            </w:pPr>
            <w:r>
              <w:rPr>
                <w:rFonts w:hint="eastAsia"/>
                <w:b/>
                <w:sz w:val="24"/>
                <w:highlight w:val="none"/>
              </w:rPr>
              <w:t>职责分工</w:t>
            </w:r>
          </w:p>
        </w:tc>
        <w:tc>
          <w:tcPr>
            <w:tcW w:w="1389" w:type="dxa"/>
            <w:shd w:val="clear" w:color="auto" w:fill="auto"/>
            <w:vAlign w:val="center"/>
          </w:tcPr>
          <w:p>
            <w:pPr>
              <w:pStyle w:val="35"/>
              <w:jc w:val="center"/>
              <w:rPr>
                <w:b/>
                <w:sz w:val="24"/>
                <w:highlight w:val="none"/>
              </w:rPr>
            </w:pPr>
            <w:r>
              <w:rPr>
                <w:rFonts w:hint="eastAsia"/>
                <w:b/>
                <w:sz w:val="24"/>
                <w:highlight w:val="none"/>
              </w:rPr>
              <w:t>姓名</w:t>
            </w:r>
          </w:p>
        </w:tc>
        <w:tc>
          <w:tcPr>
            <w:tcW w:w="962" w:type="dxa"/>
            <w:shd w:val="clear" w:color="auto" w:fill="auto"/>
            <w:vAlign w:val="center"/>
          </w:tcPr>
          <w:p>
            <w:pPr>
              <w:pStyle w:val="35"/>
              <w:jc w:val="center"/>
              <w:rPr>
                <w:b/>
                <w:sz w:val="24"/>
                <w:highlight w:val="none"/>
              </w:rPr>
            </w:pPr>
            <w:r>
              <w:rPr>
                <w:rFonts w:hint="eastAsia"/>
                <w:b/>
                <w:sz w:val="24"/>
                <w:highlight w:val="none"/>
              </w:rPr>
              <w:t>现职务</w:t>
            </w:r>
          </w:p>
        </w:tc>
        <w:tc>
          <w:tcPr>
            <w:tcW w:w="2612" w:type="dxa"/>
            <w:shd w:val="clear" w:color="auto" w:fill="auto"/>
            <w:vAlign w:val="center"/>
          </w:tcPr>
          <w:p>
            <w:pPr>
              <w:pStyle w:val="35"/>
              <w:jc w:val="center"/>
              <w:rPr>
                <w:b/>
                <w:sz w:val="24"/>
                <w:highlight w:val="none"/>
              </w:rPr>
            </w:pPr>
            <w:r>
              <w:rPr>
                <w:rFonts w:hint="eastAsia"/>
                <w:b/>
                <w:sz w:val="24"/>
                <w:highlight w:val="none"/>
              </w:rPr>
              <w:t>曾主持/参与的同类项目经历</w:t>
            </w:r>
          </w:p>
        </w:tc>
        <w:tc>
          <w:tcPr>
            <w:tcW w:w="1028" w:type="dxa"/>
            <w:shd w:val="clear" w:color="auto" w:fill="auto"/>
            <w:vAlign w:val="center"/>
          </w:tcPr>
          <w:p>
            <w:pPr>
              <w:pStyle w:val="35"/>
              <w:jc w:val="center"/>
              <w:rPr>
                <w:b/>
                <w:sz w:val="24"/>
                <w:highlight w:val="none"/>
              </w:rPr>
            </w:pPr>
            <w:r>
              <w:rPr>
                <w:rFonts w:hint="eastAsia"/>
                <w:b/>
                <w:sz w:val="24"/>
                <w:highlight w:val="none"/>
              </w:rPr>
              <w:t>职称</w:t>
            </w:r>
          </w:p>
        </w:tc>
        <w:tc>
          <w:tcPr>
            <w:tcW w:w="686" w:type="dxa"/>
            <w:shd w:val="clear" w:color="auto" w:fill="auto"/>
            <w:vAlign w:val="center"/>
          </w:tcPr>
          <w:p>
            <w:pPr>
              <w:pStyle w:val="35"/>
              <w:ind w:firstLine="7"/>
              <w:jc w:val="center"/>
              <w:rPr>
                <w:b/>
                <w:sz w:val="24"/>
                <w:highlight w:val="none"/>
              </w:rPr>
            </w:pPr>
            <w:r>
              <w:rPr>
                <w:rFonts w:hint="eastAsia"/>
                <w:b/>
                <w:sz w:val="24"/>
                <w:highlight w:val="none"/>
              </w:rPr>
              <w:t>专业工龄</w:t>
            </w:r>
          </w:p>
        </w:tc>
        <w:tc>
          <w:tcPr>
            <w:tcW w:w="1951" w:type="dxa"/>
            <w:shd w:val="clear" w:color="auto" w:fill="auto"/>
            <w:vAlign w:val="center"/>
          </w:tcPr>
          <w:p>
            <w:pPr>
              <w:pStyle w:val="35"/>
              <w:ind w:firstLine="12"/>
              <w:jc w:val="center"/>
              <w:rPr>
                <w:b/>
                <w:sz w:val="24"/>
                <w:highlight w:val="none"/>
              </w:rPr>
            </w:pPr>
            <w:r>
              <w:rPr>
                <w:rFonts w:hint="eastAsia"/>
                <w:b/>
                <w:spacing w:val="36"/>
                <w:sz w:val="24"/>
                <w:highlight w:val="none"/>
              </w:rPr>
              <w:t>联系电话</w:t>
            </w:r>
            <w:r>
              <w:rPr>
                <w:rFonts w:hint="eastAsia"/>
                <w:b/>
                <w:sz w:val="24"/>
                <w:highlight w:val="none"/>
              </w:rPr>
              <w:t>/</w:t>
            </w:r>
            <w:r>
              <w:rPr>
                <w:rFonts w:hint="eastAsia"/>
                <w:b/>
                <w:spacing w:val="-52"/>
                <w:sz w:val="24"/>
                <w:highlight w:val="none"/>
              </w:rPr>
              <w:t xml:space="preserve"> 手</w:t>
            </w:r>
            <w:r>
              <w:rPr>
                <w:rFonts w:hint="eastAsia"/>
                <w:b/>
                <w:sz w:val="24"/>
                <w:highlight w:val="none"/>
              </w:rPr>
              <w:t>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jc w:val="center"/>
        </w:trPr>
        <w:tc>
          <w:tcPr>
            <w:tcW w:w="1338" w:type="dxa"/>
            <w:shd w:val="clear" w:color="auto" w:fill="auto"/>
            <w:vAlign w:val="center"/>
          </w:tcPr>
          <w:p>
            <w:pPr>
              <w:pStyle w:val="35"/>
              <w:jc w:val="center"/>
              <w:rPr>
                <w:sz w:val="24"/>
                <w:highlight w:val="none"/>
              </w:rPr>
            </w:pPr>
            <w:r>
              <w:rPr>
                <w:rFonts w:hint="eastAsia"/>
                <w:sz w:val="24"/>
                <w:highlight w:val="none"/>
              </w:rPr>
              <w:t>项目经理</w:t>
            </w:r>
          </w:p>
        </w:tc>
        <w:tc>
          <w:tcPr>
            <w:tcW w:w="1389" w:type="dxa"/>
            <w:shd w:val="clear" w:color="auto" w:fill="auto"/>
            <w:vAlign w:val="center"/>
          </w:tcPr>
          <w:p>
            <w:pPr>
              <w:pStyle w:val="35"/>
              <w:jc w:val="center"/>
              <w:rPr>
                <w:sz w:val="24"/>
                <w:highlight w:val="none"/>
              </w:rPr>
            </w:pPr>
          </w:p>
        </w:tc>
        <w:tc>
          <w:tcPr>
            <w:tcW w:w="962" w:type="dxa"/>
            <w:shd w:val="clear" w:color="auto" w:fill="auto"/>
            <w:vAlign w:val="center"/>
          </w:tcPr>
          <w:p>
            <w:pPr>
              <w:pStyle w:val="35"/>
              <w:jc w:val="center"/>
              <w:rPr>
                <w:sz w:val="24"/>
                <w:highlight w:val="none"/>
              </w:rPr>
            </w:pPr>
          </w:p>
        </w:tc>
        <w:tc>
          <w:tcPr>
            <w:tcW w:w="2612" w:type="dxa"/>
            <w:shd w:val="clear" w:color="auto" w:fill="auto"/>
            <w:vAlign w:val="center"/>
          </w:tcPr>
          <w:p>
            <w:pPr>
              <w:pStyle w:val="35"/>
              <w:jc w:val="right"/>
              <w:rPr>
                <w:sz w:val="24"/>
                <w:highlight w:val="none"/>
              </w:rPr>
            </w:pPr>
          </w:p>
        </w:tc>
        <w:tc>
          <w:tcPr>
            <w:tcW w:w="1028" w:type="dxa"/>
            <w:shd w:val="clear" w:color="auto" w:fill="auto"/>
            <w:vAlign w:val="center"/>
          </w:tcPr>
          <w:p>
            <w:pPr>
              <w:pStyle w:val="35"/>
              <w:jc w:val="center"/>
              <w:rPr>
                <w:sz w:val="24"/>
                <w:highlight w:val="none"/>
              </w:rPr>
            </w:pPr>
          </w:p>
        </w:tc>
        <w:tc>
          <w:tcPr>
            <w:tcW w:w="686" w:type="dxa"/>
            <w:shd w:val="clear" w:color="auto" w:fill="auto"/>
            <w:vAlign w:val="center"/>
          </w:tcPr>
          <w:p>
            <w:pPr>
              <w:pStyle w:val="35"/>
              <w:jc w:val="right"/>
              <w:rPr>
                <w:sz w:val="24"/>
                <w:highlight w:val="none"/>
              </w:rPr>
            </w:pPr>
          </w:p>
        </w:tc>
        <w:tc>
          <w:tcPr>
            <w:tcW w:w="1951" w:type="dxa"/>
            <w:shd w:val="clear" w:color="auto" w:fill="auto"/>
            <w:vAlign w:val="center"/>
          </w:tcPr>
          <w:p>
            <w:pPr>
              <w:pStyle w:val="35"/>
              <w:jc w:val="right"/>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jc w:val="center"/>
        </w:trPr>
        <w:tc>
          <w:tcPr>
            <w:tcW w:w="1338" w:type="dxa"/>
            <w:vMerge w:val="restart"/>
            <w:shd w:val="clear" w:color="auto" w:fill="auto"/>
            <w:vAlign w:val="center"/>
          </w:tcPr>
          <w:p>
            <w:pPr>
              <w:pStyle w:val="35"/>
              <w:jc w:val="center"/>
              <w:rPr>
                <w:sz w:val="24"/>
                <w:highlight w:val="none"/>
              </w:rPr>
            </w:pPr>
            <w:r>
              <w:rPr>
                <w:rFonts w:hint="eastAsia"/>
                <w:sz w:val="24"/>
                <w:highlight w:val="none"/>
              </w:rPr>
              <w:t>其他主要技术人员</w:t>
            </w:r>
          </w:p>
        </w:tc>
        <w:tc>
          <w:tcPr>
            <w:tcW w:w="1389" w:type="dxa"/>
            <w:shd w:val="clear" w:color="auto" w:fill="auto"/>
            <w:vAlign w:val="center"/>
          </w:tcPr>
          <w:p>
            <w:pPr>
              <w:pStyle w:val="35"/>
              <w:jc w:val="center"/>
              <w:rPr>
                <w:sz w:val="24"/>
                <w:highlight w:val="none"/>
              </w:rPr>
            </w:pPr>
          </w:p>
        </w:tc>
        <w:tc>
          <w:tcPr>
            <w:tcW w:w="962" w:type="dxa"/>
            <w:shd w:val="clear" w:color="auto" w:fill="auto"/>
            <w:vAlign w:val="center"/>
          </w:tcPr>
          <w:p>
            <w:pPr>
              <w:pStyle w:val="35"/>
              <w:jc w:val="center"/>
              <w:rPr>
                <w:sz w:val="24"/>
                <w:highlight w:val="none"/>
              </w:rPr>
            </w:pPr>
          </w:p>
        </w:tc>
        <w:tc>
          <w:tcPr>
            <w:tcW w:w="2612" w:type="dxa"/>
            <w:shd w:val="clear" w:color="auto" w:fill="auto"/>
            <w:vAlign w:val="center"/>
          </w:tcPr>
          <w:p>
            <w:pPr>
              <w:pStyle w:val="35"/>
              <w:jc w:val="right"/>
              <w:rPr>
                <w:sz w:val="24"/>
                <w:highlight w:val="none"/>
              </w:rPr>
            </w:pPr>
          </w:p>
        </w:tc>
        <w:tc>
          <w:tcPr>
            <w:tcW w:w="1028" w:type="dxa"/>
            <w:shd w:val="clear" w:color="auto" w:fill="auto"/>
            <w:vAlign w:val="center"/>
          </w:tcPr>
          <w:p>
            <w:pPr>
              <w:pStyle w:val="35"/>
              <w:jc w:val="center"/>
              <w:rPr>
                <w:sz w:val="24"/>
                <w:highlight w:val="none"/>
              </w:rPr>
            </w:pPr>
          </w:p>
        </w:tc>
        <w:tc>
          <w:tcPr>
            <w:tcW w:w="686" w:type="dxa"/>
            <w:shd w:val="clear" w:color="auto" w:fill="auto"/>
            <w:vAlign w:val="center"/>
          </w:tcPr>
          <w:p>
            <w:pPr>
              <w:pStyle w:val="35"/>
              <w:jc w:val="right"/>
              <w:rPr>
                <w:sz w:val="24"/>
                <w:highlight w:val="none"/>
              </w:rPr>
            </w:pPr>
          </w:p>
        </w:tc>
        <w:tc>
          <w:tcPr>
            <w:tcW w:w="1951" w:type="dxa"/>
            <w:shd w:val="clear" w:color="auto" w:fill="auto"/>
            <w:vAlign w:val="center"/>
          </w:tcPr>
          <w:p>
            <w:pPr>
              <w:pStyle w:val="35"/>
              <w:jc w:val="right"/>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jc w:val="center"/>
        </w:trPr>
        <w:tc>
          <w:tcPr>
            <w:tcW w:w="1338" w:type="dxa"/>
            <w:vMerge w:val="continue"/>
            <w:tcBorders>
              <w:top w:val="nil"/>
            </w:tcBorders>
            <w:shd w:val="clear" w:color="auto" w:fill="auto"/>
            <w:vAlign w:val="center"/>
          </w:tcPr>
          <w:p>
            <w:pPr>
              <w:rPr>
                <w:sz w:val="2"/>
                <w:szCs w:val="2"/>
                <w:highlight w:val="none"/>
              </w:rPr>
            </w:pPr>
          </w:p>
        </w:tc>
        <w:tc>
          <w:tcPr>
            <w:tcW w:w="1389" w:type="dxa"/>
            <w:shd w:val="clear" w:color="auto" w:fill="auto"/>
            <w:vAlign w:val="center"/>
          </w:tcPr>
          <w:p>
            <w:pPr>
              <w:pStyle w:val="35"/>
              <w:jc w:val="center"/>
              <w:rPr>
                <w:sz w:val="24"/>
                <w:highlight w:val="none"/>
              </w:rPr>
            </w:pPr>
          </w:p>
        </w:tc>
        <w:tc>
          <w:tcPr>
            <w:tcW w:w="962" w:type="dxa"/>
            <w:shd w:val="clear" w:color="auto" w:fill="auto"/>
            <w:vAlign w:val="center"/>
          </w:tcPr>
          <w:p>
            <w:pPr>
              <w:pStyle w:val="35"/>
              <w:jc w:val="center"/>
              <w:rPr>
                <w:sz w:val="24"/>
                <w:highlight w:val="none"/>
              </w:rPr>
            </w:pPr>
          </w:p>
        </w:tc>
        <w:tc>
          <w:tcPr>
            <w:tcW w:w="2612" w:type="dxa"/>
            <w:shd w:val="clear" w:color="auto" w:fill="auto"/>
            <w:vAlign w:val="center"/>
          </w:tcPr>
          <w:p>
            <w:pPr>
              <w:pStyle w:val="35"/>
              <w:jc w:val="right"/>
              <w:rPr>
                <w:sz w:val="24"/>
                <w:highlight w:val="none"/>
              </w:rPr>
            </w:pPr>
          </w:p>
        </w:tc>
        <w:tc>
          <w:tcPr>
            <w:tcW w:w="1028" w:type="dxa"/>
            <w:shd w:val="clear" w:color="auto" w:fill="auto"/>
            <w:vAlign w:val="center"/>
          </w:tcPr>
          <w:p>
            <w:pPr>
              <w:pStyle w:val="35"/>
              <w:jc w:val="center"/>
              <w:rPr>
                <w:sz w:val="24"/>
                <w:highlight w:val="none"/>
              </w:rPr>
            </w:pPr>
          </w:p>
        </w:tc>
        <w:tc>
          <w:tcPr>
            <w:tcW w:w="686" w:type="dxa"/>
            <w:shd w:val="clear" w:color="auto" w:fill="auto"/>
            <w:vAlign w:val="center"/>
          </w:tcPr>
          <w:p>
            <w:pPr>
              <w:pStyle w:val="35"/>
              <w:jc w:val="right"/>
              <w:rPr>
                <w:sz w:val="24"/>
                <w:highlight w:val="none"/>
              </w:rPr>
            </w:pPr>
          </w:p>
        </w:tc>
        <w:tc>
          <w:tcPr>
            <w:tcW w:w="1951" w:type="dxa"/>
            <w:shd w:val="clear" w:color="auto" w:fill="auto"/>
            <w:vAlign w:val="center"/>
          </w:tcPr>
          <w:p>
            <w:pPr>
              <w:pStyle w:val="35"/>
              <w:jc w:val="right"/>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9" w:hRule="atLeast"/>
          <w:jc w:val="center"/>
        </w:trPr>
        <w:tc>
          <w:tcPr>
            <w:tcW w:w="1338" w:type="dxa"/>
            <w:vMerge w:val="continue"/>
            <w:tcBorders>
              <w:top w:val="nil"/>
            </w:tcBorders>
            <w:shd w:val="clear" w:color="auto" w:fill="auto"/>
            <w:vAlign w:val="center"/>
          </w:tcPr>
          <w:p>
            <w:pPr>
              <w:rPr>
                <w:sz w:val="2"/>
                <w:szCs w:val="2"/>
                <w:highlight w:val="none"/>
              </w:rPr>
            </w:pPr>
          </w:p>
        </w:tc>
        <w:tc>
          <w:tcPr>
            <w:tcW w:w="1389" w:type="dxa"/>
            <w:shd w:val="clear" w:color="auto" w:fill="auto"/>
            <w:vAlign w:val="center"/>
          </w:tcPr>
          <w:p>
            <w:pPr>
              <w:pStyle w:val="35"/>
              <w:jc w:val="center"/>
              <w:rPr>
                <w:sz w:val="24"/>
                <w:highlight w:val="none"/>
              </w:rPr>
            </w:pPr>
          </w:p>
        </w:tc>
        <w:tc>
          <w:tcPr>
            <w:tcW w:w="962" w:type="dxa"/>
            <w:shd w:val="clear" w:color="auto" w:fill="auto"/>
            <w:vAlign w:val="center"/>
          </w:tcPr>
          <w:p>
            <w:pPr>
              <w:pStyle w:val="35"/>
              <w:jc w:val="center"/>
              <w:rPr>
                <w:sz w:val="24"/>
                <w:highlight w:val="none"/>
              </w:rPr>
            </w:pPr>
          </w:p>
        </w:tc>
        <w:tc>
          <w:tcPr>
            <w:tcW w:w="2612" w:type="dxa"/>
            <w:shd w:val="clear" w:color="auto" w:fill="auto"/>
            <w:vAlign w:val="center"/>
          </w:tcPr>
          <w:p>
            <w:pPr>
              <w:pStyle w:val="35"/>
              <w:jc w:val="right"/>
              <w:rPr>
                <w:sz w:val="24"/>
                <w:highlight w:val="none"/>
              </w:rPr>
            </w:pPr>
          </w:p>
        </w:tc>
        <w:tc>
          <w:tcPr>
            <w:tcW w:w="1028" w:type="dxa"/>
            <w:shd w:val="clear" w:color="auto" w:fill="auto"/>
            <w:vAlign w:val="center"/>
          </w:tcPr>
          <w:p>
            <w:pPr>
              <w:pStyle w:val="35"/>
              <w:jc w:val="center"/>
              <w:rPr>
                <w:sz w:val="24"/>
                <w:highlight w:val="none"/>
              </w:rPr>
            </w:pPr>
          </w:p>
        </w:tc>
        <w:tc>
          <w:tcPr>
            <w:tcW w:w="686" w:type="dxa"/>
            <w:shd w:val="clear" w:color="auto" w:fill="auto"/>
            <w:vAlign w:val="center"/>
          </w:tcPr>
          <w:p>
            <w:pPr>
              <w:pStyle w:val="35"/>
              <w:jc w:val="right"/>
              <w:rPr>
                <w:sz w:val="24"/>
                <w:highlight w:val="none"/>
              </w:rPr>
            </w:pPr>
          </w:p>
        </w:tc>
        <w:tc>
          <w:tcPr>
            <w:tcW w:w="1951" w:type="dxa"/>
            <w:shd w:val="clear" w:color="auto" w:fill="auto"/>
            <w:vAlign w:val="center"/>
          </w:tcPr>
          <w:p>
            <w:pPr>
              <w:pStyle w:val="35"/>
              <w:jc w:val="right"/>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jc w:val="center"/>
        </w:trPr>
        <w:tc>
          <w:tcPr>
            <w:tcW w:w="1338" w:type="dxa"/>
            <w:vMerge w:val="continue"/>
            <w:tcBorders>
              <w:top w:val="nil"/>
            </w:tcBorders>
            <w:shd w:val="clear" w:color="auto" w:fill="auto"/>
            <w:vAlign w:val="center"/>
          </w:tcPr>
          <w:p>
            <w:pPr>
              <w:rPr>
                <w:sz w:val="2"/>
                <w:szCs w:val="2"/>
                <w:highlight w:val="none"/>
              </w:rPr>
            </w:pPr>
          </w:p>
        </w:tc>
        <w:tc>
          <w:tcPr>
            <w:tcW w:w="1389" w:type="dxa"/>
            <w:shd w:val="clear" w:color="auto" w:fill="auto"/>
            <w:vAlign w:val="center"/>
          </w:tcPr>
          <w:p>
            <w:pPr>
              <w:pStyle w:val="35"/>
              <w:jc w:val="center"/>
              <w:rPr>
                <w:sz w:val="24"/>
                <w:highlight w:val="none"/>
              </w:rPr>
            </w:pPr>
          </w:p>
        </w:tc>
        <w:tc>
          <w:tcPr>
            <w:tcW w:w="962" w:type="dxa"/>
            <w:shd w:val="clear" w:color="auto" w:fill="auto"/>
            <w:vAlign w:val="center"/>
          </w:tcPr>
          <w:p>
            <w:pPr>
              <w:pStyle w:val="35"/>
              <w:jc w:val="center"/>
              <w:rPr>
                <w:sz w:val="24"/>
                <w:highlight w:val="none"/>
              </w:rPr>
            </w:pPr>
          </w:p>
        </w:tc>
        <w:tc>
          <w:tcPr>
            <w:tcW w:w="2612" w:type="dxa"/>
            <w:shd w:val="clear" w:color="auto" w:fill="auto"/>
            <w:vAlign w:val="center"/>
          </w:tcPr>
          <w:p>
            <w:pPr>
              <w:pStyle w:val="35"/>
              <w:jc w:val="right"/>
              <w:rPr>
                <w:sz w:val="24"/>
                <w:highlight w:val="none"/>
              </w:rPr>
            </w:pPr>
          </w:p>
        </w:tc>
        <w:tc>
          <w:tcPr>
            <w:tcW w:w="1028" w:type="dxa"/>
            <w:shd w:val="clear" w:color="auto" w:fill="auto"/>
            <w:vAlign w:val="center"/>
          </w:tcPr>
          <w:p>
            <w:pPr>
              <w:pStyle w:val="35"/>
              <w:jc w:val="center"/>
              <w:rPr>
                <w:sz w:val="24"/>
                <w:highlight w:val="none"/>
              </w:rPr>
            </w:pPr>
          </w:p>
        </w:tc>
        <w:tc>
          <w:tcPr>
            <w:tcW w:w="686" w:type="dxa"/>
            <w:shd w:val="clear" w:color="auto" w:fill="auto"/>
            <w:vAlign w:val="center"/>
          </w:tcPr>
          <w:p>
            <w:pPr>
              <w:pStyle w:val="35"/>
              <w:jc w:val="right"/>
              <w:rPr>
                <w:sz w:val="24"/>
                <w:highlight w:val="none"/>
              </w:rPr>
            </w:pPr>
          </w:p>
        </w:tc>
        <w:tc>
          <w:tcPr>
            <w:tcW w:w="1951" w:type="dxa"/>
            <w:shd w:val="clear" w:color="auto" w:fill="auto"/>
            <w:vAlign w:val="center"/>
          </w:tcPr>
          <w:p>
            <w:pPr>
              <w:pStyle w:val="35"/>
              <w:jc w:val="right"/>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jc w:val="center"/>
        </w:trPr>
        <w:tc>
          <w:tcPr>
            <w:tcW w:w="1338" w:type="dxa"/>
            <w:vMerge w:val="continue"/>
            <w:tcBorders>
              <w:top w:val="nil"/>
            </w:tcBorders>
            <w:shd w:val="clear" w:color="auto" w:fill="auto"/>
            <w:vAlign w:val="center"/>
          </w:tcPr>
          <w:p>
            <w:pPr>
              <w:rPr>
                <w:sz w:val="2"/>
                <w:szCs w:val="2"/>
                <w:highlight w:val="none"/>
              </w:rPr>
            </w:pPr>
          </w:p>
        </w:tc>
        <w:tc>
          <w:tcPr>
            <w:tcW w:w="1389" w:type="dxa"/>
            <w:shd w:val="clear" w:color="auto" w:fill="auto"/>
            <w:vAlign w:val="center"/>
          </w:tcPr>
          <w:p>
            <w:pPr>
              <w:pStyle w:val="35"/>
              <w:jc w:val="center"/>
              <w:rPr>
                <w:sz w:val="24"/>
                <w:highlight w:val="none"/>
                <w:lang w:val="en-US" w:eastAsia="zh-CN"/>
              </w:rPr>
            </w:pPr>
            <w:r>
              <w:rPr>
                <w:rFonts w:hint="eastAsia"/>
                <w:w w:val="200"/>
                <w:sz w:val="24"/>
                <w:highlight w:val="none"/>
                <w:lang w:val="en-US" w:eastAsia="zh-CN"/>
              </w:rPr>
              <w:t>...</w:t>
            </w:r>
          </w:p>
        </w:tc>
        <w:tc>
          <w:tcPr>
            <w:tcW w:w="962" w:type="dxa"/>
            <w:shd w:val="clear" w:color="auto" w:fill="auto"/>
            <w:vAlign w:val="center"/>
          </w:tcPr>
          <w:p>
            <w:pPr>
              <w:pStyle w:val="35"/>
              <w:jc w:val="center"/>
              <w:rPr>
                <w:sz w:val="24"/>
                <w:highlight w:val="none"/>
              </w:rPr>
            </w:pPr>
          </w:p>
        </w:tc>
        <w:tc>
          <w:tcPr>
            <w:tcW w:w="2612" w:type="dxa"/>
            <w:shd w:val="clear" w:color="auto" w:fill="auto"/>
            <w:vAlign w:val="center"/>
          </w:tcPr>
          <w:p>
            <w:pPr>
              <w:pStyle w:val="35"/>
              <w:jc w:val="right"/>
              <w:rPr>
                <w:sz w:val="24"/>
                <w:highlight w:val="none"/>
              </w:rPr>
            </w:pPr>
          </w:p>
        </w:tc>
        <w:tc>
          <w:tcPr>
            <w:tcW w:w="1028" w:type="dxa"/>
            <w:shd w:val="clear" w:color="auto" w:fill="auto"/>
            <w:vAlign w:val="center"/>
          </w:tcPr>
          <w:p>
            <w:pPr>
              <w:pStyle w:val="35"/>
              <w:jc w:val="center"/>
              <w:rPr>
                <w:sz w:val="24"/>
                <w:highlight w:val="none"/>
              </w:rPr>
            </w:pPr>
          </w:p>
        </w:tc>
        <w:tc>
          <w:tcPr>
            <w:tcW w:w="686" w:type="dxa"/>
            <w:shd w:val="clear" w:color="auto" w:fill="auto"/>
            <w:vAlign w:val="center"/>
          </w:tcPr>
          <w:p>
            <w:pPr>
              <w:pStyle w:val="35"/>
              <w:jc w:val="right"/>
              <w:rPr>
                <w:sz w:val="24"/>
                <w:highlight w:val="none"/>
              </w:rPr>
            </w:pPr>
          </w:p>
        </w:tc>
        <w:tc>
          <w:tcPr>
            <w:tcW w:w="1951" w:type="dxa"/>
            <w:shd w:val="clear" w:color="auto" w:fill="auto"/>
            <w:vAlign w:val="center"/>
          </w:tcPr>
          <w:p>
            <w:pPr>
              <w:pStyle w:val="35"/>
              <w:jc w:val="right"/>
              <w:rPr>
                <w:sz w:val="24"/>
                <w:highlight w:val="none"/>
              </w:rPr>
            </w:pPr>
          </w:p>
        </w:tc>
      </w:tr>
    </w:tbl>
    <w:p>
      <w:pPr>
        <w:pStyle w:val="11"/>
        <w:spacing w:line="360" w:lineRule="auto"/>
        <w:rPr>
          <w:highlight w:val="none"/>
        </w:rPr>
      </w:pPr>
      <w:r>
        <w:rPr>
          <w:rFonts w:hint="eastAsia"/>
          <w:spacing w:val="-6"/>
          <w:highlight w:val="none"/>
        </w:rPr>
        <w:t>注：提供上述人员的职称、社保等相关证明文件。同时必须在响应文件中附任职资格证书或技</w:t>
      </w:r>
      <w:r>
        <w:rPr>
          <w:rFonts w:hint="eastAsia"/>
          <w:highlight w:val="none"/>
        </w:rPr>
        <w:t>术工人等级证书的复印件</w:t>
      </w:r>
      <w:r>
        <w:rPr>
          <w:rFonts w:hint="eastAsia"/>
          <w:sz w:val="28"/>
          <w:highlight w:val="none"/>
        </w:rPr>
        <w:t>。</w:t>
      </w:r>
    </w:p>
    <w:p>
      <w:pPr>
        <w:pStyle w:val="7"/>
        <w:numPr>
          <w:ilvl w:val="1"/>
          <w:numId w:val="23"/>
        </w:numPr>
        <w:tabs>
          <w:tab w:val="left" w:pos="1183"/>
        </w:tabs>
        <w:spacing w:after="4"/>
        <w:rPr>
          <w:highlight w:val="none"/>
        </w:rPr>
      </w:pPr>
      <w:r>
        <w:rPr>
          <w:rFonts w:hint="eastAsia"/>
          <w:highlight w:val="none"/>
        </w:rPr>
        <w:t>工程机械设备数量及运行情况表</w:t>
      </w:r>
    </w:p>
    <w:tbl>
      <w:tblPr>
        <w:tblStyle w:val="25"/>
        <w:tblW w:w="97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2"/>
        <w:gridCol w:w="2455"/>
        <w:gridCol w:w="2492"/>
        <w:gridCol w:w="1479"/>
        <w:gridCol w:w="21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1142" w:type="dxa"/>
            <w:shd w:val="clear" w:color="auto" w:fill="auto"/>
            <w:vAlign w:val="center"/>
          </w:tcPr>
          <w:p>
            <w:pPr>
              <w:pStyle w:val="35"/>
              <w:jc w:val="center"/>
              <w:rPr>
                <w:b/>
                <w:sz w:val="24"/>
                <w:highlight w:val="none"/>
              </w:rPr>
            </w:pPr>
            <w:r>
              <w:rPr>
                <w:rFonts w:hint="eastAsia"/>
                <w:b/>
                <w:sz w:val="24"/>
                <w:highlight w:val="none"/>
              </w:rPr>
              <w:t>序号</w:t>
            </w:r>
          </w:p>
        </w:tc>
        <w:tc>
          <w:tcPr>
            <w:tcW w:w="2455" w:type="dxa"/>
            <w:shd w:val="clear" w:color="auto" w:fill="auto"/>
            <w:vAlign w:val="center"/>
          </w:tcPr>
          <w:p>
            <w:pPr>
              <w:pStyle w:val="35"/>
              <w:jc w:val="center"/>
              <w:rPr>
                <w:b/>
                <w:sz w:val="24"/>
                <w:highlight w:val="none"/>
              </w:rPr>
            </w:pPr>
            <w:r>
              <w:rPr>
                <w:rFonts w:hint="eastAsia"/>
                <w:b/>
                <w:sz w:val="24"/>
                <w:highlight w:val="none"/>
              </w:rPr>
              <w:t>设备名称</w:t>
            </w:r>
          </w:p>
        </w:tc>
        <w:tc>
          <w:tcPr>
            <w:tcW w:w="2492" w:type="dxa"/>
            <w:shd w:val="clear" w:color="auto" w:fill="auto"/>
            <w:vAlign w:val="center"/>
          </w:tcPr>
          <w:p>
            <w:pPr>
              <w:pStyle w:val="35"/>
              <w:jc w:val="center"/>
              <w:rPr>
                <w:b/>
                <w:sz w:val="24"/>
                <w:highlight w:val="none"/>
              </w:rPr>
            </w:pPr>
            <w:r>
              <w:rPr>
                <w:rFonts w:hint="eastAsia"/>
                <w:b/>
                <w:sz w:val="24"/>
                <w:highlight w:val="none"/>
              </w:rPr>
              <w:t>数量</w:t>
            </w:r>
          </w:p>
        </w:tc>
        <w:tc>
          <w:tcPr>
            <w:tcW w:w="1479" w:type="dxa"/>
            <w:shd w:val="clear" w:color="auto" w:fill="auto"/>
            <w:vAlign w:val="center"/>
          </w:tcPr>
          <w:p>
            <w:pPr>
              <w:pStyle w:val="35"/>
              <w:jc w:val="center"/>
              <w:rPr>
                <w:b/>
                <w:sz w:val="24"/>
                <w:highlight w:val="none"/>
              </w:rPr>
            </w:pPr>
            <w:r>
              <w:rPr>
                <w:rFonts w:hint="eastAsia"/>
                <w:b/>
                <w:sz w:val="24"/>
                <w:highlight w:val="none"/>
              </w:rPr>
              <w:t>运行状况</w:t>
            </w:r>
          </w:p>
        </w:tc>
        <w:tc>
          <w:tcPr>
            <w:tcW w:w="2188" w:type="dxa"/>
            <w:shd w:val="clear" w:color="auto" w:fill="auto"/>
            <w:vAlign w:val="center"/>
          </w:tcPr>
          <w:p>
            <w:pPr>
              <w:pStyle w:val="35"/>
              <w:jc w:val="center"/>
              <w:rPr>
                <w:b/>
                <w:sz w:val="24"/>
                <w:highlight w:val="none"/>
              </w:rPr>
            </w:pPr>
            <w:r>
              <w:rPr>
                <w:rFonts w:hint="eastAsia"/>
                <w:b/>
                <w:sz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142" w:type="dxa"/>
            <w:shd w:val="clear" w:color="auto" w:fill="auto"/>
            <w:vAlign w:val="center"/>
          </w:tcPr>
          <w:p>
            <w:pPr>
              <w:pStyle w:val="35"/>
              <w:jc w:val="center"/>
              <w:rPr>
                <w:sz w:val="24"/>
                <w:highlight w:val="none"/>
              </w:rPr>
            </w:pPr>
            <w:r>
              <w:rPr>
                <w:rFonts w:hint="eastAsia"/>
                <w:sz w:val="24"/>
                <w:highlight w:val="none"/>
              </w:rPr>
              <w:t xml:space="preserve">1 </w:t>
            </w:r>
          </w:p>
        </w:tc>
        <w:tc>
          <w:tcPr>
            <w:tcW w:w="2455" w:type="dxa"/>
            <w:shd w:val="clear" w:color="auto" w:fill="auto"/>
            <w:vAlign w:val="center"/>
          </w:tcPr>
          <w:p>
            <w:pPr>
              <w:pStyle w:val="35"/>
              <w:jc w:val="center"/>
              <w:rPr>
                <w:sz w:val="24"/>
                <w:highlight w:val="none"/>
              </w:rPr>
            </w:pPr>
          </w:p>
        </w:tc>
        <w:tc>
          <w:tcPr>
            <w:tcW w:w="2492" w:type="dxa"/>
            <w:shd w:val="clear" w:color="auto" w:fill="auto"/>
            <w:vAlign w:val="center"/>
          </w:tcPr>
          <w:p>
            <w:pPr>
              <w:pStyle w:val="35"/>
              <w:jc w:val="center"/>
              <w:rPr>
                <w:sz w:val="24"/>
                <w:highlight w:val="none"/>
              </w:rPr>
            </w:pPr>
          </w:p>
        </w:tc>
        <w:tc>
          <w:tcPr>
            <w:tcW w:w="1479" w:type="dxa"/>
            <w:shd w:val="clear" w:color="auto" w:fill="auto"/>
            <w:vAlign w:val="center"/>
          </w:tcPr>
          <w:p>
            <w:pPr>
              <w:pStyle w:val="35"/>
              <w:jc w:val="center"/>
              <w:rPr>
                <w:sz w:val="24"/>
                <w:highlight w:val="none"/>
              </w:rPr>
            </w:pPr>
          </w:p>
        </w:tc>
        <w:tc>
          <w:tcPr>
            <w:tcW w:w="2188" w:type="dxa"/>
            <w:shd w:val="clear" w:color="auto" w:fill="auto"/>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1142" w:type="dxa"/>
            <w:shd w:val="clear" w:color="auto" w:fill="auto"/>
            <w:vAlign w:val="center"/>
          </w:tcPr>
          <w:p>
            <w:pPr>
              <w:pStyle w:val="35"/>
              <w:jc w:val="center"/>
              <w:rPr>
                <w:sz w:val="24"/>
                <w:highlight w:val="none"/>
              </w:rPr>
            </w:pPr>
            <w:r>
              <w:rPr>
                <w:rFonts w:hint="eastAsia"/>
                <w:sz w:val="24"/>
                <w:highlight w:val="none"/>
              </w:rPr>
              <w:t xml:space="preserve">2 </w:t>
            </w:r>
          </w:p>
        </w:tc>
        <w:tc>
          <w:tcPr>
            <w:tcW w:w="2455" w:type="dxa"/>
            <w:shd w:val="clear" w:color="auto" w:fill="auto"/>
            <w:vAlign w:val="center"/>
          </w:tcPr>
          <w:p>
            <w:pPr>
              <w:pStyle w:val="35"/>
              <w:jc w:val="center"/>
              <w:rPr>
                <w:sz w:val="24"/>
                <w:highlight w:val="none"/>
              </w:rPr>
            </w:pPr>
          </w:p>
        </w:tc>
        <w:tc>
          <w:tcPr>
            <w:tcW w:w="2492" w:type="dxa"/>
            <w:shd w:val="clear" w:color="auto" w:fill="auto"/>
            <w:vAlign w:val="center"/>
          </w:tcPr>
          <w:p>
            <w:pPr>
              <w:pStyle w:val="35"/>
              <w:jc w:val="center"/>
              <w:rPr>
                <w:sz w:val="24"/>
                <w:highlight w:val="none"/>
              </w:rPr>
            </w:pPr>
          </w:p>
        </w:tc>
        <w:tc>
          <w:tcPr>
            <w:tcW w:w="1479" w:type="dxa"/>
            <w:shd w:val="clear" w:color="auto" w:fill="auto"/>
            <w:vAlign w:val="center"/>
          </w:tcPr>
          <w:p>
            <w:pPr>
              <w:pStyle w:val="35"/>
              <w:jc w:val="center"/>
              <w:rPr>
                <w:b/>
                <w:sz w:val="24"/>
                <w:highlight w:val="none"/>
              </w:rPr>
            </w:pPr>
          </w:p>
        </w:tc>
        <w:tc>
          <w:tcPr>
            <w:tcW w:w="2188" w:type="dxa"/>
            <w:shd w:val="clear" w:color="auto" w:fill="auto"/>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 w:hRule="atLeast"/>
          <w:jc w:val="center"/>
        </w:trPr>
        <w:tc>
          <w:tcPr>
            <w:tcW w:w="1142" w:type="dxa"/>
            <w:shd w:val="clear" w:color="auto" w:fill="auto"/>
            <w:vAlign w:val="center"/>
          </w:tcPr>
          <w:p>
            <w:pPr>
              <w:pStyle w:val="35"/>
              <w:jc w:val="center"/>
              <w:rPr>
                <w:sz w:val="24"/>
                <w:highlight w:val="none"/>
              </w:rPr>
            </w:pPr>
            <w:r>
              <w:rPr>
                <w:rFonts w:hint="eastAsia"/>
                <w:sz w:val="24"/>
                <w:highlight w:val="none"/>
              </w:rPr>
              <w:t xml:space="preserve">3 </w:t>
            </w:r>
          </w:p>
        </w:tc>
        <w:tc>
          <w:tcPr>
            <w:tcW w:w="2455" w:type="dxa"/>
            <w:shd w:val="clear" w:color="auto" w:fill="auto"/>
            <w:vAlign w:val="center"/>
          </w:tcPr>
          <w:p>
            <w:pPr>
              <w:pStyle w:val="35"/>
              <w:jc w:val="center"/>
              <w:rPr>
                <w:sz w:val="24"/>
                <w:highlight w:val="none"/>
              </w:rPr>
            </w:pPr>
          </w:p>
        </w:tc>
        <w:tc>
          <w:tcPr>
            <w:tcW w:w="2492" w:type="dxa"/>
            <w:shd w:val="clear" w:color="auto" w:fill="auto"/>
            <w:vAlign w:val="center"/>
          </w:tcPr>
          <w:p>
            <w:pPr>
              <w:pStyle w:val="35"/>
              <w:jc w:val="center"/>
              <w:rPr>
                <w:sz w:val="24"/>
                <w:highlight w:val="none"/>
              </w:rPr>
            </w:pPr>
          </w:p>
        </w:tc>
        <w:tc>
          <w:tcPr>
            <w:tcW w:w="1479" w:type="dxa"/>
            <w:shd w:val="clear" w:color="auto" w:fill="auto"/>
            <w:vAlign w:val="center"/>
          </w:tcPr>
          <w:p>
            <w:pPr>
              <w:pStyle w:val="35"/>
              <w:jc w:val="center"/>
              <w:rPr>
                <w:sz w:val="24"/>
                <w:highlight w:val="none"/>
              </w:rPr>
            </w:pPr>
          </w:p>
        </w:tc>
        <w:tc>
          <w:tcPr>
            <w:tcW w:w="2188" w:type="dxa"/>
            <w:shd w:val="clear" w:color="auto" w:fill="auto"/>
            <w:vAlign w:val="center"/>
          </w:tcPr>
          <w:p>
            <w:pPr>
              <w:pStyle w:val="35"/>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142" w:type="dxa"/>
            <w:shd w:val="clear" w:color="auto" w:fill="auto"/>
            <w:vAlign w:val="center"/>
          </w:tcPr>
          <w:p>
            <w:pPr>
              <w:pStyle w:val="35"/>
              <w:jc w:val="center"/>
              <w:rPr>
                <w:sz w:val="24"/>
                <w:highlight w:val="none"/>
                <w:lang w:val="en-US" w:eastAsia="zh-CN"/>
              </w:rPr>
            </w:pPr>
            <w:r>
              <w:rPr>
                <w:rFonts w:hint="eastAsia"/>
                <w:w w:val="200"/>
                <w:sz w:val="24"/>
                <w:highlight w:val="none"/>
                <w:lang w:val="en-US" w:eastAsia="zh-CN"/>
              </w:rPr>
              <w:t>..</w:t>
            </w:r>
          </w:p>
        </w:tc>
        <w:tc>
          <w:tcPr>
            <w:tcW w:w="2455" w:type="dxa"/>
            <w:shd w:val="clear" w:color="auto" w:fill="auto"/>
            <w:vAlign w:val="center"/>
          </w:tcPr>
          <w:p>
            <w:pPr>
              <w:pStyle w:val="35"/>
              <w:jc w:val="center"/>
              <w:rPr>
                <w:sz w:val="24"/>
                <w:highlight w:val="none"/>
              </w:rPr>
            </w:pPr>
          </w:p>
        </w:tc>
        <w:tc>
          <w:tcPr>
            <w:tcW w:w="2492" w:type="dxa"/>
            <w:shd w:val="clear" w:color="auto" w:fill="auto"/>
            <w:vAlign w:val="center"/>
          </w:tcPr>
          <w:p>
            <w:pPr>
              <w:pStyle w:val="35"/>
              <w:jc w:val="center"/>
              <w:rPr>
                <w:sz w:val="24"/>
                <w:highlight w:val="none"/>
              </w:rPr>
            </w:pPr>
          </w:p>
        </w:tc>
        <w:tc>
          <w:tcPr>
            <w:tcW w:w="1479" w:type="dxa"/>
            <w:shd w:val="clear" w:color="auto" w:fill="auto"/>
            <w:vAlign w:val="center"/>
          </w:tcPr>
          <w:p>
            <w:pPr>
              <w:pStyle w:val="35"/>
              <w:jc w:val="center"/>
              <w:rPr>
                <w:sz w:val="24"/>
                <w:highlight w:val="none"/>
              </w:rPr>
            </w:pPr>
          </w:p>
        </w:tc>
        <w:tc>
          <w:tcPr>
            <w:tcW w:w="2188" w:type="dxa"/>
            <w:shd w:val="clear" w:color="auto" w:fill="auto"/>
            <w:vAlign w:val="center"/>
          </w:tcPr>
          <w:p>
            <w:pPr>
              <w:pStyle w:val="35"/>
              <w:jc w:val="center"/>
              <w:rPr>
                <w:sz w:val="24"/>
                <w:highlight w:val="none"/>
              </w:rPr>
            </w:pPr>
          </w:p>
        </w:tc>
      </w:tr>
    </w:tbl>
    <w:p>
      <w:pPr>
        <w:pStyle w:val="11"/>
        <w:spacing w:before="2"/>
        <w:ind w:left="477"/>
        <w:rPr>
          <w:highlight w:val="none"/>
        </w:rPr>
      </w:pPr>
    </w:p>
    <w:p>
      <w:pPr>
        <w:pStyle w:val="11"/>
        <w:spacing w:before="81"/>
        <w:ind w:left="477"/>
        <w:rPr>
          <w:sz w:val="28"/>
          <w:highlight w:val="none"/>
        </w:rPr>
      </w:pPr>
      <w:r>
        <w:rPr>
          <w:rFonts w:hint="eastAsia"/>
          <w:highlight w:val="none"/>
        </w:rPr>
        <w:t>注：本表不够填列的，可根据实际情况自行列表填列，当应体现项目具体要求。</w:t>
      </w:r>
    </w:p>
    <w:p>
      <w:pPr>
        <w:spacing w:before="95"/>
        <w:ind w:left="477"/>
        <w:rPr>
          <w:sz w:val="28"/>
          <w:highlight w:val="none"/>
        </w:rPr>
      </w:pPr>
    </w:p>
    <w:p>
      <w:pPr>
        <w:pStyle w:val="24"/>
        <w:ind w:firstLine="504"/>
        <w:rPr>
          <w:highlight w:val="none"/>
        </w:rPr>
      </w:pPr>
    </w:p>
    <w:p>
      <w:pPr>
        <w:pStyle w:val="34"/>
        <w:numPr>
          <w:ilvl w:val="1"/>
          <w:numId w:val="23"/>
        </w:numPr>
        <w:tabs>
          <w:tab w:val="left" w:pos="1183"/>
        </w:tabs>
        <w:spacing w:before="41"/>
        <w:rPr>
          <w:b/>
          <w:sz w:val="28"/>
          <w:highlight w:val="none"/>
        </w:rPr>
      </w:pPr>
      <w:r>
        <w:rPr>
          <w:rFonts w:hint="eastAsia"/>
          <w:b/>
          <w:sz w:val="28"/>
          <w:highlight w:val="none"/>
        </w:rPr>
        <w:t>其它</w:t>
      </w:r>
      <w:r>
        <w:rPr>
          <w:rFonts w:hint="eastAsia"/>
          <w:b/>
          <w:sz w:val="28"/>
          <w:highlight w:val="none"/>
          <w:lang w:eastAsia="zh-CN"/>
        </w:rPr>
        <w:t>材料</w:t>
      </w:r>
    </w:p>
    <w:p>
      <w:pPr>
        <w:spacing w:before="29"/>
        <w:ind w:left="477"/>
        <w:rPr>
          <w:sz w:val="28"/>
          <w:highlight w:val="none"/>
        </w:rPr>
      </w:pPr>
    </w:p>
    <w:p>
      <w:pPr>
        <w:pStyle w:val="21"/>
      </w:pPr>
    </w:p>
    <w:p>
      <w:pPr>
        <w:rPr>
          <w:sz w:val="28"/>
          <w:highlight w:val="none"/>
        </w:rPr>
      </w:pPr>
    </w:p>
    <w:p>
      <w:pPr>
        <w:rPr>
          <w:sz w:val="28"/>
          <w:highlight w:val="none"/>
        </w:rPr>
      </w:pPr>
    </w:p>
    <w:p>
      <w:pPr>
        <w:pStyle w:val="11"/>
        <w:spacing w:line="500" w:lineRule="exact"/>
        <w:ind w:left="440" w:leftChars="200"/>
        <w:rPr>
          <w:highlight w:val="none"/>
        </w:rPr>
      </w:pPr>
      <w:r>
        <w:rPr>
          <w:rFonts w:hint="eastAsia"/>
          <w:highlight w:val="none"/>
        </w:rPr>
        <w:t>供应商法定代表人（或法定代表人授权代表）签字：</w:t>
      </w:r>
    </w:p>
    <w:p>
      <w:pPr>
        <w:pStyle w:val="11"/>
        <w:spacing w:line="500" w:lineRule="exact"/>
        <w:ind w:left="440" w:leftChars="200"/>
        <w:rPr>
          <w:highlight w:val="none"/>
        </w:rPr>
      </w:pPr>
      <w:r>
        <w:rPr>
          <w:rFonts w:hint="eastAsia"/>
          <w:highlight w:val="none"/>
        </w:rPr>
        <w:t>供应商名称（签章</w:t>
      </w:r>
      <w:r>
        <w:rPr>
          <w:rFonts w:hint="eastAsia"/>
          <w:spacing w:val="-120"/>
          <w:highlight w:val="none"/>
        </w:rPr>
        <w:t>）</w:t>
      </w:r>
      <w:r>
        <w:rPr>
          <w:rFonts w:hint="eastAsia"/>
          <w:highlight w:val="none"/>
        </w:rPr>
        <w:t>：</w:t>
      </w:r>
    </w:p>
    <w:p>
      <w:pPr>
        <w:pStyle w:val="11"/>
        <w:spacing w:line="500" w:lineRule="exact"/>
        <w:ind w:left="440" w:leftChars="200"/>
        <w:rPr>
          <w:rFonts w:hint="eastAsia"/>
          <w:spacing w:val="59"/>
          <w:highlight w:val="none"/>
        </w:rPr>
      </w:pPr>
      <w:r>
        <w:rPr>
          <w:rFonts w:hint="eastAsia"/>
          <w:highlight w:val="none"/>
        </w:rPr>
        <w:t>日期：</w:t>
      </w:r>
      <w:r>
        <w:rPr>
          <w:rFonts w:hint="eastAsia"/>
          <w:highlight w:val="none"/>
          <w:lang w:val="en-US" w:eastAsia="zh-CN"/>
        </w:rPr>
        <w:t xml:space="preserve">   </w:t>
      </w:r>
      <w:r>
        <w:rPr>
          <w:rFonts w:hint="eastAsia"/>
          <w:highlight w:val="none"/>
        </w:rPr>
        <w:t>年</w:t>
      </w:r>
      <w:r>
        <w:rPr>
          <w:rFonts w:hint="eastAsia"/>
          <w:highlight w:val="none"/>
          <w:lang w:val="en-US" w:eastAsia="zh-CN"/>
        </w:rPr>
        <w:t xml:space="preserve">  </w:t>
      </w:r>
      <w:r>
        <w:rPr>
          <w:rFonts w:hint="eastAsia"/>
          <w:highlight w:val="none"/>
        </w:rPr>
        <w:t>月</w:t>
      </w:r>
      <w:r>
        <w:rPr>
          <w:rFonts w:hint="eastAsia"/>
          <w:highlight w:val="none"/>
          <w:lang w:val="en-US" w:eastAsia="zh-CN"/>
        </w:rPr>
        <w:t xml:space="preserve">  </w:t>
      </w:r>
      <w:r>
        <w:rPr>
          <w:rFonts w:hint="eastAsia"/>
          <w:spacing w:val="59"/>
          <w:highlight w:val="none"/>
        </w:rPr>
        <w:t>日</w:t>
      </w:r>
    </w:p>
    <w:p>
      <w:pPr>
        <w:pStyle w:val="11"/>
        <w:spacing w:line="500" w:lineRule="exact"/>
        <w:ind w:left="440" w:leftChars="200"/>
        <w:rPr>
          <w:rFonts w:hint="eastAsia"/>
          <w:spacing w:val="59"/>
          <w:highlight w:val="none"/>
        </w:rPr>
      </w:pPr>
      <w:r>
        <w:rPr>
          <w:rFonts w:hint="eastAsia"/>
          <w:spacing w:val="59"/>
          <w:highlight w:val="none"/>
        </w:rPr>
        <w:br w:type="textWrapping"/>
      </w:r>
    </w:p>
    <w:p>
      <w:pPr>
        <w:pStyle w:val="11"/>
        <w:spacing w:line="500" w:lineRule="exact"/>
        <w:ind w:left="440" w:leftChars="200"/>
        <w:rPr>
          <w:rFonts w:hint="eastAsia"/>
          <w:spacing w:val="59"/>
          <w:highlight w:val="none"/>
        </w:rPr>
      </w:pPr>
    </w:p>
    <w:p>
      <w:pPr>
        <w:pStyle w:val="11"/>
        <w:spacing w:line="500" w:lineRule="exact"/>
        <w:ind w:left="440" w:leftChars="200"/>
        <w:rPr>
          <w:rFonts w:hint="eastAsia"/>
          <w:spacing w:val="59"/>
          <w:highlight w:val="none"/>
        </w:rPr>
      </w:pPr>
    </w:p>
    <w:p>
      <w:pPr>
        <w:pStyle w:val="11"/>
        <w:spacing w:line="500" w:lineRule="exact"/>
        <w:ind w:left="440" w:leftChars="200"/>
        <w:rPr>
          <w:rFonts w:hint="eastAsia"/>
          <w:spacing w:val="59"/>
          <w:highlight w:val="none"/>
        </w:rPr>
      </w:pPr>
    </w:p>
    <w:p>
      <w:pPr>
        <w:pStyle w:val="11"/>
        <w:spacing w:line="500" w:lineRule="exact"/>
        <w:ind w:left="440" w:leftChars="200"/>
        <w:rPr>
          <w:rFonts w:hint="eastAsia"/>
          <w:spacing w:val="59"/>
          <w:highlight w:val="none"/>
        </w:rPr>
      </w:pPr>
    </w:p>
    <w:p>
      <w:pPr>
        <w:pStyle w:val="11"/>
        <w:spacing w:line="500" w:lineRule="exact"/>
        <w:ind w:left="440" w:leftChars="200"/>
        <w:rPr>
          <w:rFonts w:hint="eastAsia"/>
          <w:spacing w:val="59"/>
          <w:highlight w:val="none"/>
        </w:rPr>
      </w:pPr>
    </w:p>
    <w:p>
      <w:pPr>
        <w:pStyle w:val="11"/>
        <w:spacing w:line="500" w:lineRule="exact"/>
        <w:ind w:left="440" w:leftChars="200"/>
        <w:rPr>
          <w:rFonts w:hint="eastAsia"/>
          <w:spacing w:val="59"/>
          <w:highlight w:val="none"/>
        </w:rPr>
      </w:pPr>
    </w:p>
    <w:p>
      <w:pPr>
        <w:pStyle w:val="56"/>
        <w:jc w:val="center"/>
        <w:outlineLvl w:val="3"/>
      </w:pPr>
      <w:r>
        <w:rPr>
          <w:b/>
          <w:sz w:val="32"/>
          <w:szCs w:val="22"/>
        </w:rPr>
        <w:t>代理服务费缴纳承诺函</w:t>
      </w:r>
    </w:p>
    <w:p>
      <w:pPr>
        <w:pStyle w:val="56"/>
        <w:spacing w:line="360" w:lineRule="auto"/>
        <w:rPr>
          <w:rFonts w:hint="eastAsia" w:ascii="宋体" w:hAnsi="宋体" w:eastAsia="宋体" w:cs="宋体"/>
          <w:sz w:val="24"/>
          <w:szCs w:val="24"/>
          <w:highlight w:val="none"/>
          <w:lang w:val="ja-JP" w:eastAsia="ja-JP" w:bidi="ja-JP"/>
        </w:rPr>
      </w:pPr>
    </w:p>
    <w:p>
      <w:pPr>
        <w:pStyle w:val="56"/>
        <w:spacing w:line="360" w:lineRule="auto"/>
        <w:rPr>
          <w:rFonts w:hint="default" w:ascii="宋体" w:hAnsi="宋体" w:eastAsia="宋体" w:cs="宋体"/>
          <w:sz w:val="24"/>
          <w:szCs w:val="24"/>
          <w:highlight w:val="none"/>
          <w:lang w:val="en-US" w:eastAsia="zh-CN" w:bidi="ja-JP"/>
        </w:rPr>
      </w:pPr>
      <w:r>
        <w:rPr>
          <w:rFonts w:hint="eastAsia" w:ascii="宋体" w:hAnsi="宋体" w:eastAsia="宋体" w:cs="宋体"/>
          <w:sz w:val="24"/>
          <w:szCs w:val="24"/>
          <w:highlight w:val="none"/>
          <w:lang w:val="ja-JP" w:eastAsia="ja-JP" w:bidi="ja-JP"/>
        </w:rPr>
        <w:t>致：</w:t>
      </w:r>
      <w:r>
        <w:rPr>
          <w:rFonts w:hint="eastAsia" w:ascii="宋体" w:hAnsi="宋体" w:eastAsia="宋体" w:cs="宋体"/>
          <w:sz w:val="24"/>
          <w:szCs w:val="24"/>
          <w:highlight w:val="none"/>
          <w:lang w:val="en-US" w:eastAsia="zh-CN" w:bidi="ja-JP"/>
        </w:rPr>
        <w:t>广东正源泰工程咨询有限公司</w:t>
      </w:r>
    </w:p>
    <w:p>
      <w:pPr>
        <w:pStyle w:val="56"/>
        <w:spacing w:line="360" w:lineRule="auto"/>
        <w:ind w:firstLine="480"/>
        <w:rPr>
          <w:rFonts w:hint="eastAsia" w:ascii="宋体" w:hAnsi="宋体" w:eastAsia="宋体" w:cs="宋体"/>
          <w:sz w:val="24"/>
          <w:szCs w:val="24"/>
          <w:highlight w:val="none"/>
          <w:lang w:val="ja-JP" w:eastAsia="ja-JP" w:bidi="ja-JP"/>
        </w:rPr>
      </w:pPr>
      <w:r>
        <w:rPr>
          <w:rFonts w:hint="eastAsia" w:ascii="宋体" w:hAnsi="宋体" w:eastAsia="宋体" w:cs="宋体"/>
          <w:sz w:val="24"/>
          <w:szCs w:val="24"/>
          <w:highlight w:val="none"/>
          <w:lang w:val="ja-JP" w:eastAsia="ja-JP" w:bidi="ja-JP"/>
        </w:rPr>
        <w:t>我单位参加贵公司组织的</w:t>
      </w:r>
      <w:r>
        <w:rPr>
          <w:rFonts w:hint="eastAsia" w:ascii="宋体" w:hAnsi="宋体" w:eastAsia="宋体" w:cs="宋体"/>
          <w:sz w:val="24"/>
          <w:szCs w:val="24"/>
          <w:highlight w:val="none"/>
          <w:u w:val="single"/>
          <w:lang w:val="ja-JP" w:eastAsia="ja-JP" w:bidi="ja-JP"/>
        </w:rPr>
        <w:t>江门市民主法治公园建设项目</w:t>
      </w:r>
      <w:r>
        <w:rPr>
          <w:rFonts w:hint="eastAsia" w:ascii="宋体" w:hAnsi="宋体" w:eastAsia="宋体" w:cs="宋体"/>
          <w:sz w:val="24"/>
          <w:szCs w:val="24"/>
          <w:highlight w:val="none"/>
          <w:lang w:val="ja-JP" w:eastAsia="ja-JP" w:bidi="ja-JP"/>
        </w:rPr>
        <w:t>（采购项目编号：</w:t>
      </w:r>
      <w:r>
        <w:rPr>
          <w:rFonts w:hint="eastAsia" w:ascii="宋体" w:hAnsi="宋体" w:eastAsia="宋体" w:cs="宋体"/>
          <w:sz w:val="24"/>
          <w:szCs w:val="24"/>
          <w:highlight w:val="none"/>
          <w:u w:val="single"/>
          <w:lang w:val="en-US" w:eastAsia="zh-CN" w:bidi="ja-JP"/>
        </w:rPr>
        <w:t>/</w:t>
      </w:r>
      <w:r>
        <w:rPr>
          <w:rFonts w:hint="eastAsia" w:ascii="宋体" w:hAnsi="宋体" w:eastAsia="宋体" w:cs="宋体"/>
          <w:sz w:val="24"/>
          <w:szCs w:val="24"/>
          <w:highlight w:val="none"/>
          <w:lang w:val="ja-JP" w:eastAsia="ja-JP" w:bidi="ja-JP"/>
        </w:rPr>
        <w:t>），作出如下承诺：</w:t>
      </w:r>
    </w:p>
    <w:p>
      <w:pPr>
        <w:pStyle w:val="56"/>
        <w:spacing w:line="360" w:lineRule="auto"/>
        <w:ind w:firstLine="480"/>
        <w:rPr>
          <w:rFonts w:hint="eastAsia" w:ascii="宋体" w:hAnsi="宋体" w:eastAsia="宋体" w:cs="宋体"/>
          <w:sz w:val="24"/>
          <w:szCs w:val="24"/>
          <w:highlight w:val="none"/>
          <w:lang w:val="ja-JP" w:eastAsia="ja-JP" w:bidi="ja-JP"/>
        </w:rPr>
      </w:pPr>
      <w:r>
        <w:rPr>
          <w:rFonts w:hint="eastAsia" w:ascii="宋体" w:hAnsi="宋体" w:eastAsia="宋体" w:cs="宋体"/>
          <w:sz w:val="24"/>
          <w:szCs w:val="24"/>
          <w:highlight w:val="none"/>
          <w:lang w:val="ja-JP" w:eastAsia="ja-JP" w:bidi="ja-JP"/>
        </w:rPr>
        <w:t>1、完全响应</w:t>
      </w:r>
      <w:r>
        <w:rPr>
          <w:rFonts w:hint="eastAsia" w:ascii="宋体" w:hAnsi="宋体" w:eastAsia="宋体" w:cs="宋体"/>
          <w:sz w:val="24"/>
          <w:szCs w:val="24"/>
          <w:highlight w:val="none"/>
          <w:lang w:val="en-US" w:eastAsia="zh-CN" w:bidi="ja-JP"/>
        </w:rPr>
        <w:t>采购</w:t>
      </w:r>
      <w:r>
        <w:rPr>
          <w:rFonts w:hint="eastAsia" w:ascii="宋体" w:hAnsi="宋体" w:eastAsia="宋体" w:cs="宋体"/>
          <w:sz w:val="24"/>
          <w:szCs w:val="24"/>
          <w:highlight w:val="none"/>
          <w:lang w:val="ja-JP" w:eastAsia="ja-JP" w:bidi="ja-JP"/>
        </w:rPr>
        <w:t>文件中要求的条款，若提供虚假资料将作为无效响应处理，并接受相关部门的处罚。</w:t>
      </w:r>
    </w:p>
    <w:p>
      <w:pPr>
        <w:pStyle w:val="56"/>
        <w:spacing w:line="360" w:lineRule="auto"/>
        <w:ind w:firstLine="480"/>
        <w:rPr>
          <w:rFonts w:hint="eastAsia" w:ascii="宋体" w:hAnsi="宋体" w:eastAsia="宋体" w:cs="宋体"/>
          <w:sz w:val="24"/>
          <w:szCs w:val="24"/>
          <w:highlight w:val="none"/>
          <w:lang w:val="ja-JP" w:eastAsia="ja-JP" w:bidi="ja-JP"/>
        </w:rPr>
      </w:pPr>
      <w:r>
        <w:rPr>
          <w:rFonts w:hint="eastAsia" w:ascii="宋体" w:hAnsi="宋体" w:eastAsia="宋体" w:cs="宋体"/>
          <w:sz w:val="24"/>
          <w:szCs w:val="24"/>
          <w:highlight w:val="none"/>
          <w:lang w:val="ja-JP" w:eastAsia="ja-JP" w:bidi="ja-JP"/>
        </w:rPr>
        <w:t>2、我单位若被选为成交供应商，承诺按照</w:t>
      </w:r>
      <w:r>
        <w:rPr>
          <w:rFonts w:hint="eastAsia" w:ascii="宋体" w:hAnsi="宋体" w:eastAsia="宋体" w:cs="宋体"/>
          <w:sz w:val="24"/>
          <w:szCs w:val="24"/>
          <w:highlight w:val="none"/>
          <w:lang w:val="en-US" w:eastAsia="zh-CN" w:bidi="ja-JP"/>
        </w:rPr>
        <w:t>采购文件相关要求</w:t>
      </w:r>
      <w:r>
        <w:rPr>
          <w:rFonts w:hint="eastAsia" w:ascii="宋体" w:hAnsi="宋体" w:eastAsia="宋体" w:cs="宋体"/>
          <w:sz w:val="24"/>
          <w:szCs w:val="24"/>
          <w:highlight w:val="none"/>
          <w:lang w:val="ja-JP" w:eastAsia="ja-JP" w:bidi="ja-JP"/>
        </w:rPr>
        <w:t>缴纳代理服务费。代理服务费包括组织专家对审查供应商资格、答疑、组织</w:t>
      </w:r>
      <w:r>
        <w:rPr>
          <w:rFonts w:hint="eastAsia" w:ascii="宋体" w:hAnsi="宋体" w:eastAsia="宋体" w:cs="宋体"/>
          <w:sz w:val="24"/>
          <w:szCs w:val="24"/>
          <w:highlight w:val="none"/>
          <w:lang w:val="en-US" w:eastAsia="zh-CN" w:bidi="ja-JP"/>
        </w:rPr>
        <w:t>采购</w:t>
      </w:r>
      <w:r>
        <w:rPr>
          <w:rFonts w:hint="eastAsia" w:ascii="宋体" w:hAnsi="宋体" w:eastAsia="宋体" w:cs="宋体"/>
          <w:sz w:val="24"/>
          <w:szCs w:val="24"/>
          <w:highlight w:val="none"/>
          <w:lang w:val="ja-JP" w:eastAsia="ja-JP" w:bidi="ja-JP"/>
        </w:rPr>
        <w:t>、评审、确定成交供应商，以及提供采购前期咨询、协调合同的签订等服务，按</w:t>
      </w:r>
      <w:r>
        <w:rPr>
          <w:rFonts w:hint="eastAsia" w:ascii="宋体" w:hAnsi="宋体" w:eastAsia="宋体" w:cs="宋体"/>
          <w:sz w:val="24"/>
          <w:szCs w:val="24"/>
          <w:highlight w:val="none"/>
          <w:u w:val="single"/>
          <w:lang w:val="en-US" w:eastAsia="zh-CN" w:bidi="ja-JP"/>
        </w:rPr>
        <w:t>100%</w:t>
      </w:r>
      <w:r>
        <w:rPr>
          <w:rFonts w:hint="eastAsia" w:ascii="宋体" w:hAnsi="宋体" w:eastAsia="宋体" w:cs="宋体"/>
          <w:sz w:val="24"/>
          <w:szCs w:val="24"/>
          <w:highlight w:val="none"/>
          <w:lang w:val="ja-JP" w:eastAsia="ja-JP" w:bidi="ja-JP"/>
        </w:rPr>
        <w:t>支付。</w:t>
      </w:r>
    </w:p>
    <w:p>
      <w:pPr>
        <w:pStyle w:val="56"/>
        <w:spacing w:line="360" w:lineRule="auto"/>
        <w:ind w:firstLine="480"/>
        <w:rPr>
          <w:rFonts w:hint="eastAsia" w:ascii="宋体" w:hAnsi="宋体" w:eastAsia="宋体" w:cs="宋体"/>
          <w:sz w:val="24"/>
          <w:szCs w:val="24"/>
          <w:highlight w:val="none"/>
          <w:lang w:val="ja-JP" w:eastAsia="ja-JP" w:bidi="ja-JP"/>
        </w:rPr>
      </w:pPr>
      <w:r>
        <w:rPr>
          <w:rFonts w:hint="eastAsia" w:ascii="宋体" w:hAnsi="宋体" w:eastAsia="宋体" w:cs="宋体"/>
          <w:sz w:val="24"/>
          <w:szCs w:val="24"/>
          <w:highlight w:val="none"/>
          <w:lang w:val="ja-JP" w:eastAsia="ja-JP" w:bidi="ja-JP"/>
        </w:rPr>
        <w:t>3、如我公司被选为成交供应商，在成交结果公示后3日内向采购代理机构指定账户缴付代理服务费。</w:t>
      </w:r>
    </w:p>
    <w:p>
      <w:pPr>
        <w:pStyle w:val="56"/>
        <w:spacing w:line="360" w:lineRule="auto"/>
        <w:ind w:firstLine="480"/>
        <w:rPr>
          <w:rFonts w:hint="eastAsia" w:ascii="宋体" w:hAnsi="宋体" w:eastAsia="宋体" w:cs="宋体"/>
          <w:sz w:val="24"/>
          <w:szCs w:val="24"/>
          <w:highlight w:val="none"/>
          <w:lang w:val="ja-JP" w:eastAsia="ja-JP" w:bidi="ja-JP"/>
        </w:rPr>
      </w:pPr>
    </w:p>
    <w:p>
      <w:pPr>
        <w:pStyle w:val="56"/>
        <w:spacing w:line="360" w:lineRule="auto"/>
        <w:ind w:firstLine="480"/>
        <w:rPr>
          <w:rFonts w:hint="eastAsia" w:ascii="宋体" w:hAnsi="宋体" w:eastAsia="宋体" w:cs="宋体"/>
          <w:sz w:val="24"/>
          <w:szCs w:val="24"/>
          <w:highlight w:val="none"/>
          <w:lang w:val="ja-JP" w:eastAsia="ja-JP" w:bidi="ja-JP"/>
        </w:rPr>
      </w:pPr>
      <w:r>
        <w:rPr>
          <w:rFonts w:hint="eastAsia" w:ascii="宋体" w:hAnsi="宋体" w:eastAsia="宋体" w:cs="宋体"/>
          <w:sz w:val="24"/>
          <w:szCs w:val="24"/>
          <w:highlight w:val="none"/>
          <w:lang w:val="ja-JP" w:eastAsia="ja-JP" w:bidi="ja-JP"/>
        </w:rPr>
        <w:t>特此承诺！</w:t>
      </w:r>
    </w:p>
    <w:p>
      <w:pPr>
        <w:pStyle w:val="56"/>
        <w:spacing w:line="360" w:lineRule="auto"/>
        <w:jc w:val="right"/>
      </w:pPr>
      <w:r>
        <w:t>供应商法定名称（公章）；_____________________</w:t>
      </w:r>
    </w:p>
    <w:p>
      <w:pPr>
        <w:pStyle w:val="56"/>
        <w:spacing w:line="360" w:lineRule="auto"/>
        <w:jc w:val="right"/>
      </w:pPr>
      <w:r>
        <w:t>供应商法定地址：_____________________</w:t>
      </w:r>
    </w:p>
    <w:p>
      <w:pPr>
        <w:pStyle w:val="56"/>
        <w:spacing w:line="360" w:lineRule="auto"/>
        <w:jc w:val="right"/>
      </w:pPr>
      <w:r>
        <w:t>供应商授权代表（签字或盖章）：_____________________</w:t>
      </w:r>
    </w:p>
    <w:p>
      <w:pPr>
        <w:pStyle w:val="56"/>
        <w:spacing w:line="360" w:lineRule="auto"/>
        <w:jc w:val="right"/>
      </w:pPr>
      <w:r>
        <w:t>电 话：_____________________</w:t>
      </w:r>
    </w:p>
    <w:p>
      <w:pPr>
        <w:pStyle w:val="56"/>
        <w:spacing w:line="360" w:lineRule="auto"/>
        <w:jc w:val="right"/>
      </w:pPr>
      <w:r>
        <w:t>传 真：_____________________</w:t>
      </w:r>
    </w:p>
    <w:p>
      <w:pPr>
        <w:pStyle w:val="56"/>
        <w:spacing w:line="360" w:lineRule="auto"/>
        <w:jc w:val="right"/>
      </w:pPr>
      <w:r>
        <w:t>承诺日期：_____________________</w:t>
      </w:r>
    </w:p>
    <w:p>
      <w:pPr>
        <w:pStyle w:val="56"/>
        <w:ind w:firstLine="480"/>
      </w:pPr>
      <w:r>
        <w:t xml:space="preserve">  </w:t>
      </w:r>
    </w:p>
    <w:p>
      <w:pPr>
        <w:pStyle w:val="11"/>
        <w:spacing w:line="500" w:lineRule="exact"/>
        <w:rPr>
          <w:rFonts w:hint="eastAsia"/>
          <w:spacing w:val="59"/>
          <w:highlight w:val="none"/>
          <w:lang w:eastAsia="zh-CN"/>
        </w:rPr>
        <w:sectPr>
          <w:pgSz w:w="11910" w:h="16840"/>
          <w:pgMar w:top="1440" w:right="1080" w:bottom="1440" w:left="1080" w:header="0" w:footer="796" w:gutter="0"/>
          <w:cols w:space="720" w:num="1"/>
        </w:sectPr>
      </w:pPr>
    </w:p>
    <w:p>
      <w:pPr>
        <w:spacing w:before="95"/>
        <w:rPr>
          <w:sz w:val="28"/>
          <w:highlight w:val="none"/>
        </w:rPr>
      </w:pPr>
    </w:p>
    <w:p>
      <w:pPr>
        <w:pStyle w:val="7"/>
        <w:spacing w:before="102"/>
        <w:ind w:left="521" w:right="1134"/>
        <w:jc w:val="center"/>
        <w:rPr>
          <w:highlight w:val="none"/>
        </w:rPr>
      </w:pPr>
      <w:bookmarkStart w:id="503" w:name="_Toc23772"/>
      <w:bookmarkStart w:id="504" w:name="_Toc16669"/>
      <w:r>
        <w:rPr>
          <w:rFonts w:hint="eastAsia"/>
          <w:highlight w:val="none"/>
        </w:rPr>
        <w:t>四、技术部分</w:t>
      </w:r>
      <w:bookmarkEnd w:id="503"/>
      <w:bookmarkEnd w:id="504"/>
    </w:p>
    <w:p>
      <w:pPr>
        <w:rPr>
          <w:sz w:val="28"/>
          <w:highlight w:val="none"/>
        </w:rPr>
      </w:pPr>
    </w:p>
    <w:p>
      <w:pPr>
        <w:rPr>
          <w:sz w:val="28"/>
          <w:highlight w:val="none"/>
        </w:rPr>
      </w:pPr>
    </w:p>
    <w:p>
      <w:pPr>
        <w:pStyle w:val="34"/>
        <w:tabs>
          <w:tab w:val="left" w:pos="762"/>
        </w:tabs>
        <w:spacing w:before="40"/>
        <w:ind w:left="0" w:firstLine="562" w:firstLineChars="200"/>
        <w:rPr>
          <w:b/>
          <w:sz w:val="28"/>
          <w:highlight w:val="none"/>
        </w:rPr>
      </w:pPr>
      <w:r>
        <w:rPr>
          <w:rFonts w:hint="eastAsia"/>
          <w:b/>
          <w:sz w:val="28"/>
          <w:highlight w:val="none"/>
          <w:lang w:val="en-US" w:eastAsia="zh-CN"/>
        </w:rPr>
        <w:t>1.</w:t>
      </w:r>
      <w:r>
        <w:rPr>
          <w:rFonts w:hint="eastAsia"/>
          <w:b/>
          <w:sz w:val="28"/>
          <w:highlight w:val="none"/>
        </w:rPr>
        <w:t>技术方案</w:t>
      </w:r>
    </w:p>
    <w:p>
      <w:pPr>
        <w:pStyle w:val="11"/>
        <w:spacing w:before="1"/>
        <w:rPr>
          <w:b/>
          <w:sz w:val="39"/>
          <w:highlight w:val="none"/>
        </w:rPr>
      </w:pPr>
    </w:p>
    <w:p>
      <w:pPr>
        <w:pStyle w:val="11"/>
        <w:spacing w:before="5"/>
        <w:ind w:left="477"/>
        <w:jc w:val="center"/>
        <w:rPr>
          <w:highlight w:val="none"/>
          <w:lang w:eastAsia="zh-CN"/>
        </w:rPr>
      </w:pPr>
      <w:r>
        <w:rPr>
          <w:rFonts w:hint="eastAsia"/>
          <w:b/>
          <w:sz w:val="28"/>
          <w:highlight w:val="none"/>
        </w:rPr>
        <w:t>供应商</w:t>
      </w:r>
      <w:r>
        <w:rPr>
          <w:rFonts w:hint="eastAsia"/>
          <w:b/>
          <w:sz w:val="28"/>
          <w:highlight w:val="none"/>
          <w:lang w:eastAsia="zh-CN"/>
        </w:rPr>
        <w:t>自行编制</w:t>
      </w:r>
    </w:p>
    <w:p>
      <w:pPr>
        <w:spacing w:before="159"/>
        <w:ind w:left="477"/>
        <w:rPr>
          <w:sz w:val="28"/>
          <w:highlight w:val="none"/>
        </w:rPr>
      </w:pPr>
    </w:p>
    <w:p>
      <w:pPr>
        <w:rPr>
          <w:sz w:val="28"/>
          <w:highlight w:val="none"/>
        </w:rPr>
        <w:sectPr>
          <w:pgSz w:w="11910" w:h="16840"/>
          <w:pgMar w:top="1440" w:right="1080" w:bottom="1440" w:left="1080" w:header="0" w:footer="796" w:gutter="0"/>
          <w:cols w:space="720" w:num="1"/>
        </w:sectPr>
      </w:pPr>
    </w:p>
    <w:p>
      <w:pPr>
        <w:spacing w:before="4"/>
        <w:ind w:left="477"/>
        <w:rPr>
          <w:sz w:val="28"/>
          <w:highlight w:val="none"/>
        </w:rPr>
      </w:pPr>
    </w:p>
    <w:p>
      <w:pPr>
        <w:pStyle w:val="34"/>
        <w:tabs>
          <w:tab w:val="left" w:pos="762"/>
        </w:tabs>
        <w:spacing w:before="40"/>
        <w:ind w:left="477" w:firstLine="0"/>
        <w:rPr>
          <w:b/>
          <w:sz w:val="28"/>
          <w:highlight w:val="none"/>
        </w:rPr>
      </w:pPr>
      <w:r>
        <w:rPr>
          <w:rFonts w:hint="eastAsia"/>
          <w:b/>
          <w:sz w:val="28"/>
          <w:highlight w:val="none"/>
          <w:lang w:val="en-US" w:eastAsia="zh-CN"/>
        </w:rPr>
        <w:t>2.</w:t>
      </w:r>
      <w:r>
        <w:rPr>
          <w:rFonts w:hint="eastAsia"/>
          <w:b/>
          <w:sz w:val="28"/>
          <w:highlight w:val="none"/>
        </w:rPr>
        <w:t>其它重要事项说明</w:t>
      </w:r>
    </w:p>
    <w:p>
      <w:pPr>
        <w:pStyle w:val="11"/>
        <w:rPr>
          <w:b/>
          <w:sz w:val="28"/>
          <w:highlight w:val="none"/>
        </w:rPr>
      </w:pPr>
    </w:p>
    <w:p>
      <w:pPr>
        <w:spacing w:before="247"/>
        <w:ind w:left="477"/>
        <w:rPr>
          <w:sz w:val="28"/>
          <w:highlight w:val="none"/>
        </w:rPr>
      </w:pPr>
    </w:p>
    <w:p>
      <w:pPr>
        <w:spacing w:before="122"/>
        <w:ind w:left="477"/>
        <w:rPr>
          <w:sz w:val="28"/>
          <w:highlight w:val="none"/>
        </w:rPr>
      </w:pPr>
    </w:p>
    <w:p>
      <w:pPr>
        <w:spacing w:before="18"/>
        <w:ind w:left="477"/>
        <w:rPr>
          <w:sz w:val="28"/>
          <w:highlight w:val="none"/>
        </w:rPr>
      </w:pPr>
    </w:p>
    <w:p>
      <w:pPr>
        <w:spacing w:before="3"/>
        <w:ind w:left="477"/>
        <w:rPr>
          <w:sz w:val="28"/>
          <w:highlight w:val="none"/>
        </w:rPr>
      </w:pPr>
    </w:p>
    <w:p>
      <w:pPr>
        <w:spacing w:before="4"/>
        <w:ind w:left="477"/>
        <w:rPr>
          <w:sz w:val="28"/>
          <w:highlight w:val="none"/>
        </w:rPr>
      </w:pPr>
    </w:p>
    <w:p>
      <w:pPr>
        <w:spacing w:before="6"/>
        <w:ind w:left="477"/>
        <w:rPr>
          <w:sz w:val="28"/>
          <w:highlight w:val="none"/>
        </w:rPr>
      </w:pPr>
    </w:p>
    <w:p>
      <w:pPr>
        <w:spacing w:before="4"/>
        <w:ind w:left="477"/>
        <w:rPr>
          <w:sz w:val="28"/>
          <w:highlight w:val="none"/>
        </w:rPr>
      </w:pPr>
    </w:p>
    <w:p>
      <w:pPr>
        <w:spacing w:before="4"/>
        <w:ind w:left="477"/>
        <w:rPr>
          <w:sz w:val="28"/>
          <w:highlight w:val="none"/>
        </w:rPr>
      </w:pPr>
    </w:p>
    <w:p>
      <w:pPr>
        <w:spacing w:before="6"/>
        <w:ind w:left="477"/>
        <w:rPr>
          <w:sz w:val="28"/>
          <w:highlight w:val="none"/>
        </w:rPr>
      </w:pPr>
    </w:p>
    <w:p>
      <w:pPr>
        <w:spacing w:before="4"/>
        <w:ind w:left="477"/>
        <w:rPr>
          <w:sz w:val="28"/>
          <w:highlight w:val="none"/>
        </w:rPr>
      </w:pPr>
    </w:p>
    <w:p>
      <w:pPr>
        <w:spacing w:before="3"/>
        <w:ind w:left="477"/>
        <w:rPr>
          <w:sz w:val="28"/>
          <w:highlight w:val="none"/>
        </w:rPr>
      </w:pPr>
    </w:p>
    <w:p>
      <w:pPr>
        <w:spacing w:before="6"/>
        <w:ind w:left="477"/>
        <w:rPr>
          <w:sz w:val="28"/>
          <w:highlight w:val="none"/>
        </w:rPr>
      </w:pPr>
    </w:p>
    <w:p>
      <w:pPr>
        <w:spacing w:before="4"/>
        <w:ind w:left="477"/>
        <w:rPr>
          <w:sz w:val="28"/>
          <w:highlight w:val="none"/>
        </w:rPr>
      </w:pPr>
    </w:p>
    <w:p>
      <w:pPr>
        <w:spacing w:before="4"/>
        <w:ind w:left="477"/>
        <w:rPr>
          <w:sz w:val="28"/>
          <w:highlight w:val="none"/>
        </w:rPr>
      </w:pPr>
    </w:p>
    <w:p>
      <w:pPr>
        <w:spacing w:before="3"/>
        <w:ind w:left="477"/>
        <w:rPr>
          <w:sz w:val="28"/>
          <w:highlight w:val="none"/>
        </w:rPr>
      </w:pPr>
    </w:p>
    <w:p>
      <w:pPr>
        <w:spacing w:line="307" w:lineRule="exact"/>
        <w:rPr>
          <w:highlight w:val="none"/>
        </w:rPr>
        <w:sectPr>
          <w:pgSz w:w="11910" w:h="16840"/>
          <w:pgMar w:top="1440" w:right="1080" w:bottom="1440" w:left="1080" w:header="0" w:footer="796" w:gutter="0"/>
          <w:cols w:space="720" w:num="1"/>
        </w:sectPr>
      </w:pPr>
    </w:p>
    <w:p>
      <w:pPr>
        <w:pStyle w:val="7"/>
        <w:rPr>
          <w:highlight w:val="none"/>
        </w:rPr>
      </w:pPr>
      <w:bookmarkStart w:id="505" w:name="_Toc19427"/>
      <w:bookmarkStart w:id="506" w:name="_Toc9211"/>
      <w:r>
        <w:rPr>
          <w:rFonts w:hint="eastAsia"/>
          <w:highlight w:val="none"/>
        </w:rPr>
        <w:t>五、价格部分</w:t>
      </w:r>
      <w:bookmarkEnd w:id="505"/>
      <w:bookmarkEnd w:id="506"/>
    </w:p>
    <w:p>
      <w:pPr>
        <w:pStyle w:val="11"/>
        <w:rPr>
          <w:b/>
          <w:sz w:val="22"/>
          <w:highlight w:val="none"/>
        </w:rPr>
      </w:pPr>
    </w:p>
    <w:p>
      <w:pPr>
        <w:spacing w:before="1"/>
        <w:jc w:val="center"/>
        <w:rPr>
          <w:b/>
          <w:sz w:val="28"/>
          <w:highlight w:val="none"/>
        </w:rPr>
      </w:pPr>
      <w:r>
        <w:rPr>
          <w:rFonts w:hint="eastAsia"/>
          <w:b/>
          <w:sz w:val="28"/>
          <w:highlight w:val="none"/>
          <w:lang w:val="en-US" w:eastAsia="zh-CN"/>
        </w:rPr>
        <w:t>1、</w:t>
      </w:r>
      <w:r>
        <w:rPr>
          <w:rFonts w:hint="eastAsia"/>
          <w:b/>
          <w:sz w:val="28"/>
          <w:highlight w:val="none"/>
        </w:rPr>
        <w:t>报价一览表</w:t>
      </w:r>
    </w:p>
    <w:p>
      <w:pPr>
        <w:pStyle w:val="11"/>
        <w:rPr>
          <w:b/>
          <w:sz w:val="20"/>
          <w:highlight w:val="none"/>
        </w:rPr>
      </w:pPr>
    </w:p>
    <w:p>
      <w:pPr>
        <w:pStyle w:val="11"/>
        <w:spacing w:before="2"/>
        <w:rPr>
          <w:b/>
          <w:sz w:val="19"/>
          <w:highlight w:val="none"/>
        </w:rPr>
      </w:pPr>
    </w:p>
    <w:tbl>
      <w:tblPr>
        <w:tblStyle w:val="25"/>
        <w:tblW w:w="97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93"/>
        <w:gridCol w:w="4870"/>
        <w:gridCol w:w="19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2893" w:type="dxa"/>
            <w:vAlign w:val="center"/>
          </w:tcPr>
          <w:p>
            <w:pPr>
              <w:pStyle w:val="35"/>
              <w:jc w:val="center"/>
              <w:rPr>
                <w:b/>
                <w:bCs/>
                <w:sz w:val="28"/>
                <w:highlight w:val="none"/>
              </w:rPr>
            </w:pPr>
            <w:r>
              <w:rPr>
                <w:rFonts w:hint="eastAsia"/>
                <w:b/>
                <w:bCs/>
                <w:sz w:val="28"/>
                <w:highlight w:val="none"/>
              </w:rPr>
              <w:t>项目名称</w:t>
            </w:r>
          </w:p>
        </w:tc>
        <w:tc>
          <w:tcPr>
            <w:tcW w:w="4870" w:type="dxa"/>
            <w:vAlign w:val="center"/>
          </w:tcPr>
          <w:p>
            <w:pPr>
              <w:pStyle w:val="35"/>
              <w:jc w:val="center"/>
              <w:rPr>
                <w:b/>
                <w:bCs/>
                <w:sz w:val="28"/>
                <w:highlight w:val="none"/>
                <w:lang w:eastAsia="zh-CN"/>
              </w:rPr>
            </w:pPr>
            <w:r>
              <w:rPr>
                <w:rFonts w:hint="eastAsia"/>
                <w:b/>
                <w:bCs/>
                <w:sz w:val="28"/>
                <w:highlight w:val="none"/>
                <w:lang w:val="en-US" w:eastAsia="zh-CN"/>
              </w:rPr>
              <w:t>投标报价</w:t>
            </w:r>
          </w:p>
        </w:tc>
        <w:tc>
          <w:tcPr>
            <w:tcW w:w="1995" w:type="dxa"/>
            <w:vAlign w:val="center"/>
          </w:tcPr>
          <w:p>
            <w:pPr>
              <w:pStyle w:val="35"/>
              <w:jc w:val="center"/>
              <w:rPr>
                <w:b/>
                <w:bCs/>
                <w:sz w:val="28"/>
                <w:highlight w:val="none"/>
              </w:rPr>
            </w:pPr>
            <w:r>
              <w:rPr>
                <w:rFonts w:hint="eastAsia"/>
                <w:b/>
                <w:bCs/>
                <w:sz w:val="2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7" w:hRule="atLeast"/>
          <w:jc w:val="center"/>
        </w:trPr>
        <w:tc>
          <w:tcPr>
            <w:tcW w:w="2893" w:type="dxa"/>
            <w:vAlign w:val="center"/>
          </w:tcPr>
          <w:p>
            <w:pPr>
              <w:pStyle w:val="35"/>
              <w:ind w:left="107"/>
              <w:rPr>
                <w:sz w:val="28"/>
                <w:highlight w:val="none"/>
              </w:rPr>
            </w:pPr>
          </w:p>
        </w:tc>
        <w:tc>
          <w:tcPr>
            <w:tcW w:w="4870" w:type="dxa"/>
            <w:vAlign w:val="center"/>
          </w:tcPr>
          <w:p>
            <w:pPr>
              <w:pStyle w:val="35"/>
              <w:spacing w:before="4"/>
              <w:ind w:left="108"/>
              <w:jc w:val="center"/>
              <w:rPr>
                <w:spacing w:val="-1"/>
                <w:sz w:val="28"/>
                <w:highlight w:val="none"/>
                <w:lang w:val="en-US" w:eastAsia="zh-CN"/>
              </w:rPr>
            </w:pPr>
            <w:r>
              <w:rPr>
                <w:rFonts w:hint="eastAsia"/>
                <w:spacing w:val="-1"/>
                <w:sz w:val="28"/>
                <w:highlight w:val="none"/>
                <w:lang w:eastAsia="zh-CN"/>
              </w:rPr>
              <w:t>投标报价为：</w:t>
            </w:r>
            <w:r>
              <w:rPr>
                <w:rFonts w:hint="eastAsia"/>
                <w:spacing w:val="-1"/>
                <w:sz w:val="28"/>
                <w:highlight w:val="none"/>
                <w:lang w:val="en-US" w:eastAsia="zh-CN"/>
              </w:rPr>
              <w:t>元</w:t>
            </w:r>
          </w:p>
          <w:p>
            <w:pPr>
              <w:pStyle w:val="35"/>
              <w:spacing w:before="4"/>
              <w:ind w:left="108"/>
              <w:jc w:val="center"/>
              <w:rPr>
                <w:spacing w:val="-1"/>
                <w:sz w:val="28"/>
                <w:highlight w:val="none"/>
                <w:lang w:val="en-US" w:eastAsia="zh-CN"/>
              </w:rPr>
            </w:pPr>
            <w:r>
              <w:rPr>
                <w:rFonts w:hint="eastAsia"/>
                <w:spacing w:val="-1"/>
                <w:sz w:val="28"/>
                <w:highlight w:val="none"/>
                <w:lang w:val="en-US" w:eastAsia="zh-CN"/>
              </w:rPr>
              <w:t>（大写金额为：  ）</w:t>
            </w:r>
          </w:p>
        </w:tc>
        <w:tc>
          <w:tcPr>
            <w:tcW w:w="1995" w:type="dxa"/>
            <w:vAlign w:val="center"/>
          </w:tcPr>
          <w:p>
            <w:pPr>
              <w:pStyle w:val="35"/>
              <w:ind w:left="106"/>
              <w:jc w:val="both"/>
              <w:rPr>
                <w:b/>
                <w:w w:val="99"/>
                <w:sz w:val="28"/>
                <w:highlight w:val="none"/>
                <w:lang w:eastAsia="zh-CN"/>
              </w:rPr>
            </w:pPr>
          </w:p>
        </w:tc>
      </w:tr>
    </w:tbl>
    <w:p>
      <w:pPr>
        <w:spacing w:line="357" w:lineRule="exact"/>
        <w:ind w:left="477"/>
        <w:rPr>
          <w:sz w:val="28"/>
          <w:highlight w:val="none"/>
        </w:rPr>
      </w:pPr>
      <w:r>
        <w:rPr>
          <w:rFonts w:hint="eastAsia"/>
          <w:sz w:val="28"/>
          <w:highlight w:val="none"/>
        </w:rPr>
        <w:t xml:space="preserve">注： </w:t>
      </w:r>
    </w:p>
    <w:p>
      <w:pPr>
        <w:pStyle w:val="11"/>
        <w:spacing w:before="187"/>
        <w:ind w:left="958"/>
        <w:rPr>
          <w:highlight w:val="none"/>
        </w:rPr>
      </w:pPr>
      <w:r>
        <w:rPr>
          <w:rFonts w:hint="eastAsia"/>
          <w:highlight w:val="none"/>
        </w:rPr>
        <w:t xml:space="preserve">1、供应商须按要求填写所有信息，不得随意更改本表格式。 </w:t>
      </w:r>
    </w:p>
    <w:p>
      <w:pPr>
        <w:pStyle w:val="11"/>
        <w:spacing w:before="187"/>
        <w:ind w:left="958"/>
        <w:rPr>
          <w:highlight w:val="none"/>
        </w:rPr>
      </w:pPr>
      <w:r>
        <w:rPr>
          <w:rFonts w:hint="eastAsia"/>
          <w:highlight w:val="none"/>
        </w:rPr>
        <w:t>2、报价中必须</w:t>
      </w:r>
      <w:r>
        <w:rPr>
          <w:rFonts w:hint="eastAsia"/>
          <w:highlight w:val="none"/>
          <w:lang w:eastAsia="zh-CN"/>
        </w:rPr>
        <w:t>按已发出的工程量清单进行固定单价的方式报价</w:t>
      </w:r>
      <w:r>
        <w:rPr>
          <w:rFonts w:hint="eastAsia"/>
          <w:highlight w:val="none"/>
        </w:rPr>
        <w:t xml:space="preserve">。 </w:t>
      </w:r>
    </w:p>
    <w:p>
      <w:pPr>
        <w:pStyle w:val="11"/>
        <w:spacing w:before="187"/>
        <w:ind w:left="958"/>
        <w:rPr>
          <w:highlight w:val="none"/>
          <w:lang w:eastAsia="zh-CN"/>
        </w:rPr>
      </w:pPr>
      <w:r>
        <w:rPr>
          <w:rFonts w:hint="eastAsia"/>
          <w:highlight w:val="none"/>
          <w:lang w:val="en-US" w:eastAsia="zh-CN"/>
        </w:rPr>
        <w:t>3</w:t>
      </w:r>
      <w:r>
        <w:rPr>
          <w:rFonts w:hint="eastAsia"/>
          <w:highlight w:val="none"/>
        </w:rPr>
        <w:t>、此表是响应文件的必要文件，是响应文件的组成部分</w:t>
      </w:r>
      <w:r>
        <w:rPr>
          <w:rFonts w:hint="eastAsia"/>
          <w:highlight w:val="none"/>
          <w:lang w:eastAsia="zh-CN"/>
        </w:rPr>
        <w:t>。</w:t>
      </w:r>
    </w:p>
    <w:p>
      <w:pPr>
        <w:pStyle w:val="11"/>
        <w:rPr>
          <w:sz w:val="20"/>
          <w:highlight w:val="none"/>
        </w:rPr>
      </w:pPr>
    </w:p>
    <w:p>
      <w:pPr>
        <w:pStyle w:val="11"/>
        <w:rPr>
          <w:sz w:val="20"/>
          <w:highlight w:val="none"/>
        </w:rPr>
      </w:pPr>
    </w:p>
    <w:p>
      <w:pPr>
        <w:pStyle w:val="11"/>
        <w:rPr>
          <w:sz w:val="20"/>
          <w:highlight w:val="none"/>
        </w:rPr>
      </w:pPr>
    </w:p>
    <w:p>
      <w:pPr>
        <w:pStyle w:val="11"/>
        <w:spacing w:before="9"/>
        <w:rPr>
          <w:sz w:val="23"/>
          <w:highlight w:val="none"/>
        </w:rPr>
      </w:pPr>
    </w:p>
    <w:p>
      <w:pPr>
        <w:pStyle w:val="11"/>
        <w:spacing w:before="3" w:line="362" w:lineRule="auto"/>
        <w:ind w:left="477" w:right="2304"/>
        <w:rPr>
          <w:highlight w:val="none"/>
        </w:rPr>
      </w:pPr>
      <w:r>
        <w:rPr>
          <w:rFonts w:hint="eastAsia"/>
          <w:highlight w:val="none"/>
        </w:rPr>
        <w:t xml:space="preserve">供应商法定代表人（或法定代表人授权代表）签字： </w:t>
      </w:r>
    </w:p>
    <w:p>
      <w:pPr>
        <w:pStyle w:val="11"/>
        <w:spacing w:before="3" w:line="362" w:lineRule="auto"/>
        <w:ind w:left="477" w:right="2304"/>
        <w:rPr>
          <w:highlight w:val="none"/>
        </w:rPr>
      </w:pPr>
      <w:r>
        <w:rPr>
          <w:rFonts w:hint="eastAsia"/>
          <w:highlight w:val="none"/>
        </w:rPr>
        <w:t>供应商名称（签章</w:t>
      </w:r>
      <w:r>
        <w:rPr>
          <w:rFonts w:hint="eastAsia"/>
          <w:spacing w:val="-120"/>
          <w:highlight w:val="none"/>
        </w:rPr>
        <w:t>）</w:t>
      </w:r>
      <w:r>
        <w:rPr>
          <w:rFonts w:hint="eastAsia"/>
          <w:highlight w:val="none"/>
        </w:rPr>
        <w:t>：</w:t>
      </w:r>
    </w:p>
    <w:p>
      <w:pPr>
        <w:pStyle w:val="11"/>
        <w:spacing w:before="5"/>
        <w:ind w:left="477"/>
        <w:rPr>
          <w:highlight w:val="none"/>
        </w:rPr>
      </w:pPr>
      <w:r>
        <w:rPr>
          <w:rFonts w:hint="eastAsia"/>
          <w:highlight w:val="none"/>
        </w:rPr>
        <w:t>日 期 ：</w:t>
      </w:r>
      <w:r>
        <w:rPr>
          <w:rFonts w:hint="eastAsia"/>
          <w:highlight w:val="none"/>
          <w:lang w:val="en-US" w:eastAsia="zh-CN"/>
        </w:rPr>
        <w:t xml:space="preserve">    </w:t>
      </w:r>
      <w:r>
        <w:rPr>
          <w:rFonts w:hint="eastAsia"/>
          <w:highlight w:val="none"/>
        </w:rPr>
        <w:t>年</w:t>
      </w:r>
      <w:r>
        <w:rPr>
          <w:rFonts w:hint="eastAsia"/>
          <w:highlight w:val="none"/>
          <w:lang w:val="en-US" w:eastAsia="zh-CN"/>
        </w:rPr>
        <w:t xml:space="preserve">  </w:t>
      </w:r>
      <w:r>
        <w:rPr>
          <w:rFonts w:hint="eastAsia"/>
          <w:highlight w:val="none"/>
        </w:rPr>
        <w:t>月</w:t>
      </w:r>
      <w:r>
        <w:rPr>
          <w:rFonts w:hint="eastAsia"/>
          <w:highlight w:val="none"/>
          <w:lang w:val="en-US" w:eastAsia="zh-CN"/>
        </w:rPr>
        <w:t xml:space="preserve">  </w:t>
      </w:r>
      <w:r>
        <w:rPr>
          <w:rFonts w:hint="eastAsia"/>
          <w:highlight w:val="none"/>
        </w:rPr>
        <w:t>日</w:t>
      </w:r>
    </w:p>
    <w:p>
      <w:pPr>
        <w:spacing w:before="121"/>
        <w:ind w:left="477"/>
        <w:rPr>
          <w:b/>
          <w:sz w:val="28"/>
          <w:highlight w:val="none"/>
        </w:rPr>
      </w:pPr>
    </w:p>
    <w:p>
      <w:pPr>
        <w:spacing w:before="121"/>
        <w:ind w:left="477"/>
        <w:rPr>
          <w:b/>
          <w:sz w:val="28"/>
          <w:highlight w:val="none"/>
        </w:rPr>
      </w:pPr>
    </w:p>
    <w:p>
      <w:pPr>
        <w:pStyle w:val="24"/>
        <w:ind w:firstLine="586"/>
        <w:rPr>
          <w:rFonts w:ascii="宋体" w:eastAsia="宋体"/>
          <w:b/>
          <w:sz w:val="28"/>
          <w:highlight w:val="none"/>
        </w:rPr>
      </w:pPr>
    </w:p>
    <w:p>
      <w:pPr>
        <w:pStyle w:val="24"/>
        <w:ind w:firstLine="586"/>
        <w:rPr>
          <w:rFonts w:ascii="宋体" w:eastAsia="宋体"/>
          <w:b/>
          <w:sz w:val="28"/>
          <w:highlight w:val="none"/>
        </w:rPr>
      </w:pPr>
    </w:p>
    <w:p>
      <w:pPr>
        <w:pStyle w:val="24"/>
        <w:ind w:firstLine="586"/>
        <w:rPr>
          <w:rFonts w:ascii="宋体" w:eastAsia="宋体"/>
          <w:b/>
          <w:sz w:val="28"/>
          <w:highlight w:val="none"/>
        </w:rPr>
      </w:pPr>
    </w:p>
    <w:p>
      <w:pPr>
        <w:pStyle w:val="24"/>
        <w:ind w:firstLine="586"/>
        <w:rPr>
          <w:rFonts w:ascii="宋体" w:eastAsia="宋体"/>
          <w:b/>
          <w:sz w:val="28"/>
          <w:highlight w:val="none"/>
        </w:rPr>
      </w:pPr>
    </w:p>
    <w:p>
      <w:pPr>
        <w:pStyle w:val="24"/>
        <w:ind w:firstLine="586"/>
        <w:rPr>
          <w:rFonts w:ascii="宋体" w:eastAsia="宋体"/>
          <w:b/>
          <w:sz w:val="28"/>
          <w:highlight w:val="none"/>
        </w:rPr>
      </w:pPr>
    </w:p>
    <w:p>
      <w:pPr>
        <w:pStyle w:val="24"/>
        <w:ind w:firstLine="586"/>
        <w:rPr>
          <w:rFonts w:ascii="宋体" w:eastAsia="宋体"/>
          <w:b/>
          <w:sz w:val="28"/>
          <w:highlight w:val="none"/>
        </w:rPr>
      </w:pPr>
    </w:p>
    <w:p>
      <w:pPr>
        <w:pStyle w:val="24"/>
        <w:ind w:firstLine="586"/>
        <w:rPr>
          <w:rFonts w:ascii="宋体" w:eastAsia="宋体"/>
          <w:b/>
          <w:sz w:val="28"/>
          <w:highlight w:val="none"/>
        </w:rPr>
      </w:pPr>
    </w:p>
    <w:p>
      <w:pPr>
        <w:spacing w:before="1"/>
        <w:rPr>
          <w:sz w:val="28"/>
          <w:highlight w:val="none"/>
          <w:lang w:eastAsia="zh-CN"/>
        </w:rPr>
      </w:pPr>
    </w:p>
    <w:p>
      <w:pPr>
        <w:spacing w:before="1"/>
        <w:ind w:left="477" w:firstLine="3935" w:firstLineChars="1400"/>
        <w:rPr>
          <w:b/>
          <w:sz w:val="28"/>
          <w:highlight w:val="none"/>
          <w:lang w:val="en-US" w:eastAsia="zh-CN"/>
        </w:rPr>
      </w:pPr>
    </w:p>
    <w:p>
      <w:pPr>
        <w:spacing w:before="1"/>
        <w:jc w:val="center"/>
        <w:rPr>
          <w:b/>
          <w:sz w:val="28"/>
          <w:highlight w:val="none"/>
        </w:rPr>
      </w:pPr>
      <w:r>
        <w:rPr>
          <w:rFonts w:hint="eastAsia"/>
          <w:b/>
          <w:sz w:val="28"/>
          <w:highlight w:val="none"/>
          <w:lang w:val="en-US" w:eastAsia="zh-CN"/>
        </w:rPr>
        <w:t>2、</w:t>
      </w:r>
      <w:r>
        <w:rPr>
          <w:rFonts w:hint="eastAsia"/>
          <w:b/>
          <w:sz w:val="28"/>
          <w:highlight w:val="none"/>
        </w:rPr>
        <w:t>已标价工程量清单</w:t>
      </w:r>
    </w:p>
    <w:p>
      <w:pPr>
        <w:spacing w:before="1"/>
        <w:ind w:firstLine="659" w:firstLineChars="314"/>
        <w:rPr>
          <w:rFonts w:asciiTheme="minorEastAsia" w:hAnsiTheme="minorEastAsia" w:eastAsiaTheme="minorEastAsia" w:cstheme="minorEastAsia"/>
          <w:b/>
          <w:sz w:val="28"/>
          <w:highlight w:val="none"/>
          <w:lang w:val="en-US" w:eastAsia="zh-CN"/>
        </w:rPr>
      </w:pPr>
      <w:r>
        <w:rPr>
          <w:rFonts w:hint="eastAsia"/>
          <w:sz w:val="21"/>
          <w:szCs w:val="21"/>
          <w:highlight w:val="none"/>
        </w:rPr>
        <w:t>说明：工程量清单的组成、编制、计价、格式、项目编码、项目名称、工程内容、计量单位和工程量计算规则按照招标人给出的工程量清单及国家、省有关计价规范。已标价工程量清单内容按照招标人给出的工程量清单执行。构成合同文件的已标价工程量清单。</w:t>
      </w:r>
    </w:p>
    <w:sectPr>
      <w:pgSz w:w="11910" w:h="16840"/>
      <w:pgMar w:top="1440" w:right="1080" w:bottom="1440" w:left="1080" w:header="0" w:footer="7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MS Sans Serif">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smartSimSun">
    <w:altName w:val="@宋体"/>
    <w:panose1 w:val="00000000000000000000"/>
    <w:charset w:val="86"/>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MingLiUfalt">
    <w:altName w:val="Microsoft JhengHei"/>
    <w:panose1 w:val="00000000000000000000"/>
    <w:charset w:val="88"/>
    <w:family w:val="modern"/>
    <w:pitch w:val="default"/>
    <w:sig w:usb0="00000000" w:usb1="00000000" w:usb2="00000010" w:usb3="00000000" w:csb0="00100000" w:csb1="00000000"/>
  </w:font>
  <w:font w:name="smartSimSun">
    <w:altName w:val="宋体"/>
    <w:panose1 w:val="00000000000000000000"/>
    <w:charset w:val="86"/>
    <w:family w:val="auto"/>
    <w:pitch w:val="default"/>
    <w:sig w:usb0="00000000" w:usb1="00000000" w:usb2="00000000" w:usb3="00000000" w:csb0="00040001" w:csb1="00000000"/>
  </w:font>
  <w:font w:name="MingLiU">
    <w:panose1 w:val="02020509000000000000"/>
    <w:charset w:val="88"/>
    <w:family w:val="modern"/>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宋体">
    <w:panose1 w:val="02010600030101010101"/>
    <w:charset w:val="86"/>
    <w:family w:val="auto"/>
    <w:pitch w:val="default"/>
    <w:sig w:usb0="00000003" w:usb1="288F0000" w:usb2="0000000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sz w:val="18"/>
        <w:szCs w:val="18"/>
        <w:lang w:val="en-US" w:eastAsia="zh-CN"/>
      </w:rPr>
    </w:pPr>
    <w:r>
      <w:rPr>
        <w:sz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9"/>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2RfsRwCAAAnBAAADgAAAAAAAAABACAAAAA1AQAAZHJzL2Uyb0RvYy54bWxQSwUG&#10;AAAAAAYABgBZAQAAwwUAAAAA&#10;">
              <v:fill on="f" focussize="0,0"/>
              <v:stroke on="f" weight="0.5pt"/>
              <v:imagedata o:title=""/>
              <o:lock v:ext="edit" aspectratio="f"/>
              <v:textbox inset="0mm,0mm,0mm,0mm" style="mso-fit-shape-to-text:t;">
                <w:txbxContent>
                  <w:p>
                    <w:pPr>
                      <w:pStyle w:val="19"/>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9"/>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4Oo3+0AQAAUgMAAA4AAABkcnMv&#10;ZTJvRG9jLnhtbK1TzW4TMRC+I/EOlu/Em1R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rg6jf7QBAABSAwAADgAAAAAAAAABACAAAAA0AQAAZHJzL2Uyb0Rv&#10;Yy54bWxQSwUGAAAAAAYABgBZAQAAWgUAAAAA&#10;">
              <v:fill on="f" focussize="0,0"/>
              <v:stroke on="f"/>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9"/>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5wLxc7QBAABSAwAADgAAAAAAAAABACAAAAA0AQAAZHJzL2Uyb0Rv&#10;Yy54bWxQSwUGAAAAAAYABgBZAQAAWgUAAAAA&#10;">
              <v:fill on="f" focussize="0,0"/>
              <v:stroke on="f"/>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9"/>
                          </w:pPr>
                          <w:r>
                            <w:fldChar w:fldCharType="begin"/>
                          </w:r>
                          <w:r>
                            <w:instrText xml:space="preserve"> PAGE  \* MERGEFORMAT </w:instrText>
                          </w:r>
                          <w:r>
                            <w:fldChar w:fldCharType="separate"/>
                          </w:r>
                          <w:r>
                            <w:t>4</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zql5uc8AAAAFAQAADwAAAAAAAAABACAAAAA4AAAAZHJzL2Rvd25yZXYueG1s&#10;UEsBAhQAFAAAAAgAh07iQLpRXvmyAQAAUgMAAA4AAAAAAAAAAQAgAAAANAEAAGRycy9lMm9Eb2Mu&#10;eG1sUEsFBgAAAAAGAAYAWQEAAFgFAAAAAA==&#10;">
              <v:fill on="f" focussize="0,0"/>
              <v:stroke on="f"/>
              <v:imagedata o:title=""/>
              <o:lock v:ext="edit" aspectratio="f"/>
              <v:textbox inset="0mm,0mm,0mm,0mm" style="mso-fit-shape-to-text:t;">
                <w:txbxContent>
                  <w:p>
                    <w:pPr>
                      <w:pStyle w:val="1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5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9"/>
                          </w:pPr>
                          <w:r>
                            <w:fldChar w:fldCharType="begin"/>
                          </w:r>
                          <w:r>
                            <w:instrText xml:space="preserve"> PAGE  \* MERGEFORMAT </w:instrText>
                          </w:r>
                          <w:r>
                            <w:fldChar w:fldCharType="separate"/>
                          </w:r>
                          <w:r>
                            <w:t>22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OJOWjLQBAABSAwAADgAAAAAAAAABACAAAAA0AQAAZHJzL2Uyb0Rv&#10;Yy54bWxQSwUGAAAAAAYABgBZAQAAWgUAAAAA&#10;">
              <v:fill on="f" focussize="0,0"/>
              <v:stroke on="f"/>
              <v:imagedata o:title=""/>
              <o:lock v:ext="edit" aspectratio="f"/>
              <v:textbox inset="0mm,0mm,0mm,0mm" style="mso-fit-shape-to-text:t;">
                <w:txbxContent>
                  <w:p>
                    <w:pPr>
                      <w:pStyle w:val="1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9"/>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49</w:t>
                          </w:r>
                          <w:r>
                            <w:rPr>
                              <w:rFonts w:hint="eastAsia"/>
                              <w:lang w:eastAsia="zh-CN"/>
                            </w:rPr>
                            <w:fldChar w:fldCharType="end"/>
                          </w:r>
                          <w:r>
                            <w:rPr>
                              <w:rFonts w:hint="eastAsia"/>
                              <w:lang w:eastAsia="zh-CN"/>
                            </w:rPr>
                            <w:t xml:space="preserve"> 页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j/2E3xwCAAAnBAAADgAAAAAAAAABACAAAAA1AQAAZHJzL2Uyb0RvYy54bWxQSwUG&#10;AAAAAAYABgBZAQAAwwUAAAAA&#10;">
              <v:fill on="f" focussize="0,0"/>
              <v:stroke on="f" weight="0.5pt"/>
              <v:imagedata o:title=""/>
              <o:lock v:ext="edit" aspectratio="f"/>
              <v:textbox inset="0mm,0mm,0mm,0mm" style="mso-fit-shape-to-text:t;">
                <w:txbxContent>
                  <w:p>
                    <w:pPr>
                      <w:pStyle w:val="19"/>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49</w:t>
                    </w:r>
                    <w:r>
                      <w:rPr>
                        <w:rFonts w:hint="eastAsia"/>
                        <w:lang w:eastAsia="zh-CN"/>
                      </w:rPr>
                      <w:fldChar w:fldCharType="end"/>
                    </w:r>
                    <w:r>
                      <w:rPr>
                        <w:rFonts w:hint="eastAsia"/>
                        <w:lang w:eastAsia="zh-CN"/>
                      </w:rPr>
                      <w:t xml:space="preserve"> 页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9"/>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66</w:t>
                          </w:r>
                          <w:r>
                            <w:rPr>
                              <w:rFonts w:hint="eastAsia"/>
                              <w:lang w:eastAsia="zh-CN"/>
                            </w:rPr>
                            <w:fldChar w:fldCharType="end"/>
                          </w:r>
                          <w:r>
                            <w:rPr>
                              <w:rFonts w:hint="eastAsia"/>
                              <w:lang w:eastAsia="zh-CN"/>
                            </w:rPr>
                            <w:t xml:space="preserve"> 页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BNW6GwaAgAAJwQAAA4AAAAAAAAAAQAgAAAANQEAAGRycy9lMm9Eb2MueG1sUEsFBgAA&#10;AAAGAAYAWQEAAMEFAAAAAA==&#10;">
              <v:fill on="f" focussize="0,0"/>
              <v:stroke on="f" weight="0.5pt"/>
              <v:imagedata o:title=""/>
              <o:lock v:ext="edit" aspectratio="f"/>
              <v:textbox inset="0mm,0mm,0mm,0mm" style="mso-fit-shape-to-text:t;">
                <w:txbxContent>
                  <w:p>
                    <w:pPr>
                      <w:pStyle w:val="19"/>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66</w:t>
                    </w:r>
                    <w:r>
                      <w:rPr>
                        <w:rFonts w:hint="eastAsia"/>
                        <w:lang w:eastAsia="zh-CN"/>
                      </w:rPr>
                      <w:fldChar w:fldCharType="end"/>
                    </w:r>
                    <w:r>
                      <w:rPr>
                        <w:rFonts w:hint="eastAsia"/>
                        <w:lang w:eastAsia="zh-CN"/>
                      </w:rPr>
                      <w:t xml:space="preserve"> 页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lang w:val="en-US" w:eastAsia="zh-CN" w:bidi="ar-SA"/>
      </w:rPr>
      <mc:AlternateContent>
        <mc:Choice Requires="wps">
          <w:drawing>
            <wp:anchor distT="0" distB="0" distL="114300" distR="114300" simplePos="0" relativeHeight="251661312" behindDoc="0" locked="0" layoutInCell="1" allowOverlap="1">
              <wp:simplePos x="0" y="0"/>
              <wp:positionH relativeFrom="page">
                <wp:posOffset>526415</wp:posOffset>
              </wp:positionH>
              <wp:positionV relativeFrom="page">
                <wp:posOffset>818515</wp:posOffset>
              </wp:positionV>
              <wp:extent cx="82550" cy="139700"/>
              <wp:effectExtent l="0" t="0" r="0" b="0"/>
              <wp:wrapNone/>
              <wp:docPr id="31" name="文本框 2"/>
              <wp:cNvGraphicFramePr/>
              <a:graphic xmlns:a="http://schemas.openxmlformats.org/drawingml/2006/main">
                <a:graphicData uri="http://schemas.microsoft.com/office/word/2010/wordprocessingShape">
                  <wps:wsp>
                    <wps:cNvSpPr txBox="true"/>
                    <wps:spPr>
                      <a:xfrm>
                        <a:off x="0" y="0"/>
                        <a:ext cx="82550" cy="139700"/>
                      </a:xfrm>
                      <a:prstGeom prst="rect">
                        <a:avLst/>
                      </a:prstGeom>
                      <a:noFill/>
                      <a:ln w="9525">
                        <a:noFill/>
                      </a:ln>
                      <a:effectLst/>
                    </wps:spPr>
                    <wps:txbx>
                      <w:txbxContent>
                        <w:p>
                          <w:pPr>
                            <w:spacing w:line="220" w:lineRule="exact"/>
                            <w:ind w:left="20"/>
                            <w:rPr>
                              <w:sz w:val="18"/>
                            </w:rPr>
                          </w:pPr>
                        </w:p>
                      </w:txbxContent>
                    </wps:txbx>
                    <wps:bodyPr lIns="0" tIns="0" rIns="0" bIns="0" upright="true"/>
                  </wps:wsp>
                </a:graphicData>
              </a:graphic>
            </wp:anchor>
          </w:drawing>
        </mc:Choice>
        <mc:Fallback>
          <w:pict>
            <v:shape id="文本框 2" o:spid="_x0000_s1026" o:spt="202" type="#_x0000_t202" style="position:absolute;left:0pt;margin-left:41.45pt;margin-top:64.45pt;height:11pt;width:6.5pt;mso-position-horizontal-relative:page;mso-position-vertical-relative:page;z-index:251661312;mso-width-relative:page;mso-height-relative:page;" filled="f" stroked="f" coordsize="21600,21600" o:gfxdata="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8GA82dcAAAAJAQAADwAAAAAAAAABACAAAAA4AAAAZHJzL2Rvd25yZXYu&#10;eG1sUEsBAhQAFAAAAAgAh07iQFzQe52tAQAAQAMAAA4AAAAAAAAAAQAgAAAAPAEAAGRycy9lMm9E&#10;b2MueG1sUEsFBgAAAAAGAAYAWQEAAFsFAAAAAA==&#10;">
              <v:fill on="f" focussize="0,0"/>
              <v:stroke on="f"/>
              <v:imagedata o:title=""/>
              <o:lock v:ext="edit" aspectratio="f"/>
              <v:textbox inset="0mm,0mm,0mm,0mm">
                <w:txbxContent>
                  <w:p>
                    <w:pPr>
                      <w:spacing w:line="220" w:lineRule="exact"/>
                      <w:ind w:left="20"/>
                      <w:rPr>
                        <w:sz w:val="18"/>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477" w:hanging="241"/>
      </w:pPr>
      <w:rPr>
        <w:rFonts w:hint="default" w:ascii="宋体" w:hAnsi="宋体" w:eastAsia="宋体" w:cs="宋体"/>
        <w:spacing w:val="-17"/>
        <w:w w:val="100"/>
        <w:sz w:val="22"/>
        <w:szCs w:val="22"/>
        <w:lang w:val="ja-JP" w:eastAsia="ja-JP" w:bidi="ja-JP"/>
      </w:rPr>
    </w:lvl>
    <w:lvl w:ilvl="1" w:tentative="0">
      <w:start w:val="0"/>
      <w:numFmt w:val="bullet"/>
      <w:lvlText w:val="•"/>
      <w:lvlJc w:val="left"/>
      <w:pPr>
        <w:ind w:left="1502" w:hanging="241"/>
      </w:pPr>
      <w:rPr>
        <w:rFonts w:hint="default"/>
        <w:lang w:val="ja-JP" w:eastAsia="ja-JP" w:bidi="ja-JP"/>
      </w:rPr>
    </w:lvl>
    <w:lvl w:ilvl="2" w:tentative="0">
      <w:start w:val="0"/>
      <w:numFmt w:val="bullet"/>
      <w:lvlText w:val="•"/>
      <w:lvlJc w:val="left"/>
      <w:pPr>
        <w:ind w:left="2525" w:hanging="241"/>
      </w:pPr>
      <w:rPr>
        <w:rFonts w:hint="default"/>
        <w:lang w:val="ja-JP" w:eastAsia="ja-JP" w:bidi="ja-JP"/>
      </w:rPr>
    </w:lvl>
    <w:lvl w:ilvl="3" w:tentative="0">
      <w:start w:val="0"/>
      <w:numFmt w:val="bullet"/>
      <w:lvlText w:val="•"/>
      <w:lvlJc w:val="left"/>
      <w:pPr>
        <w:ind w:left="3547" w:hanging="241"/>
      </w:pPr>
      <w:rPr>
        <w:rFonts w:hint="default"/>
        <w:lang w:val="ja-JP" w:eastAsia="ja-JP" w:bidi="ja-JP"/>
      </w:rPr>
    </w:lvl>
    <w:lvl w:ilvl="4" w:tentative="0">
      <w:start w:val="0"/>
      <w:numFmt w:val="bullet"/>
      <w:lvlText w:val="•"/>
      <w:lvlJc w:val="left"/>
      <w:pPr>
        <w:ind w:left="4570" w:hanging="241"/>
      </w:pPr>
      <w:rPr>
        <w:rFonts w:hint="default"/>
        <w:lang w:val="ja-JP" w:eastAsia="ja-JP" w:bidi="ja-JP"/>
      </w:rPr>
    </w:lvl>
    <w:lvl w:ilvl="5" w:tentative="0">
      <w:start w:val="0"/>
      <w:numFmt w:val="bullet"/>
      <w:lvlText w:val="•"/>
      <w:lvlJc w:val="left"/>
      <w:pPr>
        <w:ind w:left="5593" w:hanging="241"/>
      </w:pPr>
      <w:rPr>
        <w:rFonts w:hint="default"/>
        <w:lang w:val="ja-JP" w:eastAsia="ja-JP" w:bidi="ja-JP"/>
      </w:rPr>
    </w:lvl>
    <w:lvl w:ilvl="6" w:tentative="0">
      <w:start w:val="0"/>
      <w:numFmt w:val="bullet"/>
      <w:lvlText w:val="•"/>
      <w:lvlJc w:val="left"/>
      <w:pPr>
        <w:ind w:left="6615" w:hanging="241"/>
      </w:pPr>
      <w:rPr>
        <w:rFonts w:hint="default"/>
        <w:lang w:val="ja-JP" w:eastAsia="ja-JP" w:bidi="ja-JP"/>
      </w:rPr>
    </w:lvl>
    <w:lvl w:ilvl="7" w:tentative="0">
      <w:start w:val="0"/>
      <w:numFmt w:val="bullet"/>
      <w:lvlText w:val="•"/>
      <w:lvlJc w:val="left"/>
      <w:pPr>
        <w:ind w:left="7638" w:hanging="241"/>
      </w:pPr>
      <w:rPr>
        <w:rFonts w:hint="default"/>
        <w:lang w:val="ja-JP" w:eastAsia="ja-JP" w:bidi="ja-JP"/>
      </w:rPr>
    </w:lvl>
    <w:lvl w:ilvl="8" w:tentative="0">
      <w:start w:val="0"/>
      <w:numFmt w:val="bullet"/>
      <w:lvlText w:val="•"/>
      <w:lvlJc w:val="left"/>
      <w:pPr>
        <w:ind w:left="8661" w:hanging="241"/>
      </w:pPr>
      <w:rPr>
        <w:rFonts w:hint="default"/>
        <w:lang w:val="ja-JP" w:eastAsia="ja-JP" w:bidi="ja-JP"/>
      </w:rPr>
    </w:lvl>
  </w:abstractNum>
  <w:abstractNum w:abstractNumId="1">
    <w:nsid w:val="AB05CB6D"/>
    <w:multiLevelType w:val="multilevel"/>
    <w:tmpl w:val="AB05CB6D"/>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210"/>
        </w:tabs>
        <w:ind w:left="210" w:firstLine="35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2">
    <w:nsid w:val="B266C69E"/>
    <w:multiLevelType w:val="multilevel"/>
    <w:tmpl w:val="B266C69E"/>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210"/>
        </w:tabs>
        <w:ind w:left="210" w:firstLine="35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3">
    <w:nsid w:val="BE7DC558"/>
    <w:multiLevelType w:val="singleLevel"/>
    <w:tmpl w:val="BE7DC558"/>
    <w:lvl w:ilvl="0" w:tentative="0">
      <w:start w:val="1"/>
      <w:numFmt w:val="chineseCounting"/>
      <w:suff w:val="nothing"/>
      <w:lvlText w:val="%1、"/>
      <w:lvlJc w:val="left"/>
      <w:rPr>
        <w:rFonts w:hint="eastAsia"/>
      </w:rPr>
    </w:lvl>
  </w:abstractNum>
  <w:abstractNum w:abstractNumId="4">
    <w:nsid w:val="C0F31099"/>
    <w:multiLevelType w:val="multilevel"/>
    <w:tmpl w:val="C0F31099"/>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567"/>
        </w:tabs>
        <w:ind w:left="0" w:firstLine="56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5">
    <w:nsid w:val="C8879AEF"/>
    <w:multiLevelType w:val="multilevel"/>
    <w:tmpl w:val="C8879AEF"/>
    <w:lvl w:ilvl="0" w:tentative="0">
      <w:start w:val="1"/>
      <w:numFmt w:val="decimal"/>
      <w:lvlText w:val="（%1）"/>
      <w:lvlJc w:val="left"/>
      <w:pPr>
        <w:ind w:left="1081" w:hanging="602"/>
      </w:pPr>
      <w:rPr>
        <w:rFonts w:hint="default" w:ascii="宋体" w:hAnsi="宋体" w:eastAsia="宋体" w:cs="宋体"/>
        <w:w w:val="100"/>
        <w:sz w:val="22"/>
        <w:szCs w:val="22"/>
        <w:lang w:val="ja-JP" w:eastAsia="ja-JP" w:bidi="ja-JP"/>
      </w:rPr>
    </w:lvl>
    <w:lvl w:ilvl="1" w:tentative="0">
      <w:start w:val="0"/>
      <w:numFmt w:val="bullet"/>
      <w:lvlText w:val="•"/>
      <w:lvlJc w:val="left"/>
      <w:pPr>
        <w:ind w:left="2042" w:hanging="602"/>
      </w:pPr>
      <w:rPr>
        <w:rFonts w:hint="default"/>
        <w:lang w:val="ja-JP" w:eastAsia="ja-JP" w:bidi="ja-JP"/>
      </w:rPr>
    </w:lvl>
    <w:lvl w:ilvl="2" w:tentative="0">
      <w:start w:val="0"/>
      <w:numFmt w:val="bullet"/>
      <w:lvlText w:val="•"/>
      <w:lvlJc w:val="left"/>
      <w:pPr>
        <w:ind w:left="3005" w:hanging="602"/>
      </w:pPr>
      <w:rPr>
        <w:rFonts w:hint="default"/>
        <w:lang w:val="ja-JP" w:eastAsia="ja-JP" w:bidi="ja-JP"/>
      </w:rPr>
    </w:lvl>
    <w:lvl w:ilvl="3" w:tentative="0">
      <w:start w:val="0"/>
      <w:numFmt w:val="bullet"/>
      <w:lvlText w:val="•"/>
      <w:lvlJc w:val="left"/>
      <w:pPr>
        <w:ind w:left="3967" w:hanging="602"/>
      </w:pPr>
      <w:rPr>
        <w:rFonts w:hint="default"/>
        <w:lang w:val="ja-JP" w:eastAsia="ja-JP" w:bidi="ja-JP"/>
      </w:rPr>
    </w:lvl>
    <w:lvl w:ilvl="4" w:tentative="0">
      <w:start w:val="0"/>
      <w:numFmt w:val="bullet"/>
      <w:lvlText w:val="•"/>
      <w:lvlJc w:val="left"/>
      <w:pPr>
        <w:ind w:left="4930" w:hanging="602"/>
      </w:pPr>
      <w:rPr>
        <w:rFonts w:hint="default"/>
        <w:lang w:val="ja-JP" w:eastAsia="ja-JP" w:bidi="ja-JP"/>
      </w:rPr>
    </w:lvl>
    <w:lvl w:ilvl="5" w:tentative="0">
      <w:start w:val="0"/>
      <w:numFmt w:val="bullet"/>
      <w:lvlText w:val="•"/>
      <w:lvlJc w:val="left"/>
      <w:pPr>
        <w:ind w:left="5893" w:hanging="602"/>
      </w:pPr>
      <w:rPr>
        <w:rFonts w:hint="default"/>
        <w:lang w:val="ja-JP" w:eastAsia="ja-JP" w:bidi="ja-JP"/>
      </w:rPr>
    </w:lvl>
    <w:lvl w:ilvl="6" w:tentative="0">
      <w:start w:val="0"/>
      <w:numFmt w:val="bullet"/>
      <w:lvlText w:val="•"/>
      <w:lvlJc w:val="left"/>
      <w:pPr>
        <w:ind w:left="6855" w:hanging="602"/>
      </w:pPr>
      <w:rPr>
        <w:rFonts w:hint="default"/>
        <w:lang w:val="ja-JP" w:eastAsia="ja-JP" w:bidi="ja-JP"/>
      </w:rPr>
    </w:lvl>
    <w:lvl w:ilvl="7" w:tentative="0">
      <w:start w:val="0"/>
      <w:numFmt w:val="bullet"/>
      <w:lvlText w:val="•"/>
      <w:lvlJc w:val="left"/>
      <w:pPr>
        <w:ind w:left="7818" w:hanging="602"/>
      </w:pPr>
      <w:rPr>
        <w:rFonts w:hint="default"/>
        <w:lang w:val="ja-JP" w:eastAsia="ja-JP" w:bidi="ja-JP"/>
      </w:rPr>
    </w:lvl>
    <w:lvl w:ilvl="8" w:tentative="0">
      <w:start w:val="0"/>
      <w:numFmt w:val="bullet"/>
      <w:lvlText w:val="•"/>
      <w:lvlJc w:val="left"/>
      <w:pPr>
        <w:ind w:left="8781" w:hanging="602"/>
      </w:pPr>
      <w:rPr>
        <w:rFonts w:hint="default"/>
        <w:lang w:val="ja-JP" w:eastAsia="ja-JP" w:bidi="ja-JP"/>
      </w:rPr>
    </w:lvl>
  </w:abstractNum>
  <w:abstractNum w:abstractNumId="6">
    <w:nsid w:val="DCBA6B53"/>
    <w:multiLevelType w:val="multilevel"/>
    <w:tmpl w:val="DCBA6B53"/>
    <w:lvl w:ilvl="0" w:tentative="0">
      <w:start w:val="1"/>
      <w:numFmt w:val="decimal"/>
      <w:lvlText w:val="（%1）"/>
      <w:lvlJc w:val="left"/>
      <w:pPr>
        <w:ind w:left="480" w:hanging="601"/>
      </w:pPr>
      <w:rPr>
        <w:rFonts w:hint="default" w:ascii="宋体" w:hAnsi="宋体" w:eastAsia="宋体" w:cs="宋体"/>
        <w:spacing w:val="-16"/>
        <w:w w:val="100"/>
        <w:sz w:val="22"/>
        <w:szCs w:val="22"/>
        <w:lang w:val="ja-JP" w:eastAsia="ja-JP" w:bidi="ja-JP"/>
      </w:rPr>
    </w:lvl>
    <w:lvl w:ilvl="1" w:tentative="0">
      <w:start w:val="0"/>
      <w:numFmt w:val="bullet"/>
      <w:lvlText w:val="•"/>
      <w:lvlJc w:val="left"/>
      <w:pPr>
        <w:ind w:left="1502" w:hanging="601"/>
      </w:pPr>
      <w:rPr>
        <w:rFonts w:hint="default"/>
        <w:lang w:val="ja-JP" w:eastAsia="ja-JP" w:bidi="ja-JP"/>
      </w:rPr>
    </w:lvl>
    <w:lvl w:ilvl="2" w:tentative="0">
      <w:start w:val="0"/>
      <w:numFmt w:val="bullet"/>
      <w:lvlText w:val="•"/>
      <w:lvlJc w:val="left"/>
      <w:pPr>
        <w:ind w:left="2525" w:hanging="601"/>
      </w:pPr>
      <w:rPr>
        <w:rFonts w:hint="default"/>
        <w:lang w:val="ja-JP" w:eastAsia="ja-JP" w:bidi="ja-JP"/>
      </w:rPr>
    </w:lvl>
    <w:lvl w:ilvl="3" w:tentative="0">
      <w:start w:val="0"/>
      <w:numFmt w:val="bullet"/>
      <w:lvlText w:val="•"/>
      <w:lvlJc w:val="left"/>
      <w:pPr>
        <w:ind w:left="3547" w:hanging="601"/>
      </w:pPr>
      <w:rPr>
        <w:rFonts w:hint="default"/>
        <w:lang w:val="ja-JP" w:eastAsia="ja-JP" w:bidi="ja-JP"/>
      </w:rPr>
    </w:lvl>
    <w:lvl w:ilvl="4" w:tentative="0">
      <w:start w:val="0"/>
      <w:numFmt w:val="bullet"/>
      <w:lvlText w:val="•"/>
      <w:lvlJc w:val="left"/>
      <w:pPr>
        <w:ind w:left="4570" w:hanging="601"/>
      </w:pPr>
      <w:rPr>
        <w:rFonts w:hint="default"/>
        <w:lang w:val="ja-JP" w:eastAsia="ja-JP" w:bidi="ja-JP"/>
      </w:rPr>
    </w:lvl>
    <w:lvl w:ilvl="5" w:tentative="0">
      <w:start w:val="0"/>
      <w:numFmt w:val="bullet"/>
      <w:lvlText w:val="•"/>
      <w:lvlJc w:val="left"/>
      <w:pPr>
        <w:ind w:left="5593" w:hanging="601"/>
      </w:pPr>
      <w:rPr>
        <w:rFonts w:hint="default"/>
        <w:lang w:val="ja-JP" w:eastAsia="ja-JP" w:bidi="ja-JP"/>
      </w:rPr>
    </w:lvl>
    <w:lvl w:ilvl="6" w:tentative="0">
      <w:start w:val="0"/>
      <w:numFmt w:val="bullet"/>
      <w:lvlText w:val="•"/>
      <w:lvlJc w:val="left"/>
      <w:pPr>
        <w:ind w:left="6615" w:hanging="601"/>
      </w:pPr>
      <w:rPr>
        <w:rFonts w:hint="default"/>
        <w:lang w:val="ja-JP" w:eastAsia="ja-JP" w:bidi="ja-JP"/>
      </w:rPr>
    </w:lvl>
    <w:lvl w:ilvl="7" w:tentative="0">
      <w:start w:val="0"/>
      <w:numFmt w:val="bullet"/>
      <w:lvlText w:val="•"/>
      <w:lvlJc w:val="left"/>
      <w:pPr>
        <w:ind w:left="7638" w:hanging="601"/>
      </w:pPr>
      <w:rPr>
        <w:rFonts w:hint="default"/>
        <w:lang w:val="ja-JP" w:eastAsia="ja-JP" w:bidi="ja-JP"/>
      </w:rPr>
    </w:lvl>
    <w:lvl w:ilvl="8" w:tentative="0">
      <w:start w:val="0"/>
      <w:numFmt w:val="bullet"/>
      <w:lvlText w:val="•"/>
      <w:lvlJc w:val="left"/>
      <w:pPr>
        <w:ind w:left="8661" w:hanging="601"/>
      </w:pPr>
      <w:rPr>
        <w:rFonts w:hint="default"/>
        <w:lang w:val="ja-JP" w:eastAsia="ja-JP" w:bidi="ja-JP"/>
      </w:rPr>
    </w:lvl>
  </w:abstractNum>
  <w:abstractNum w:abstractNumId="7">
    <w:nsid w:val="E093A4B0"/>
    <w:multiLevelType w:val="multilevel"/>
    <w:tmpl w:val="E093A4B0"/>
    <w:lvl w:ilvl="0" w:tentative="0">
      <w:start w:val="1"/>
      <w:numFmt w:val="decimal"/>
      <w:lvlText w:val="%1."/>
      <w:lvlJc w:val="left"/>
      <w:pPr>
        <w:ind w:left="477" w:hanging="241"/>
      </w:pPr>
      <w:rPr>
        <w:rFonts w:hint="default" w:ascii="宋体" w:hAnsi="宋体" w:eastAsia="宋体" w:cs="宋体"/>
        <w:spacing w:val="-16"/>
        <w:w w:val="100"/>
        <w:sz w:val="22"/>
        <w:szCs w:val="22"/>
        <w:lang w:val="ja-JP" w:eastAsia="ja-JP" w:bidi="ja-JP"/>
      </w:rPr>
    </w:lvl>
    <w:lvl w:ilvl="1" w:tentative="0">
      <w:start w:val="0"/>
      <w:numFmt w:val="bullet"/>
      <w:lvlText w:val="•"/>
      <w:lvlJc w:val="left"/>
      <w:pPr>
        <w:ind w:left="1502" w:hanging="241"/>
      </w:pPr>
      <w:rPr>
        <w:rFonts w:hint="default"/>
        <w:lang w:val="ja-JP" w:eastAsia="ja-JP" w:bidi="ja-JP"/>
      </w:rPr>
    </w:lvl>
    <w:lvl w:ilvl="2" w:tentative="0">
      <w:start w:val="0"/>
      <w:numFmt w:val="bullet"/>
      <w:lvlText w:val="•"/>
      <w:lvlJc w:val="left"/>
      <w:pPr>
        <w:ind w:left="2525" w:hanging="241"/>
      </w:pPr>
      <w:rPr>
        <w:rFonts w:hint="default"/>
        <w:lang w:val="ja-JP" w:eastAsia="ja-JP" w:bidi="ja-JP"/>
      </w:rPr>
    </w:lvl>
    <w:lvl w:ilvl="3" w:tentative="0">
      <w:start w:val="0"/>
      <w:numFmt w:val="bullet"/>
      <w:lvlText w:val="•"/>
      <w:lvlJc w:val="left"/>
      <w:pPr>
        <w:ind w:left="3547" w:hanging="241"/>
      </w:pPr>
      <w:rPr>
        <w:rFonts w:hint="default"/>
        <w:lang w:val="ja-JP" w:eastAsia="ja-JP" w:bidi="ja-JP"/>
      </w:rPr>
    </w:lvl>
    <w:lvl w:ilvl="4" w:tentative="0">
      <w:start w:val="0"/>
      <w:numFmt w:val="bullet"/>
      <w:lvlText w:val="•"/>
      <w:lvlJc w:val="left"/>
      <w:pPr>
        <w:ind w:left="4570" w:hanging="241"/>
      </w:pPr>
      <w:rPr>
        <w:rFonts w:hint="default"/>
        <w:lang w:val="ja-JP" w:eastAsia="ja-JP" w:bidi="ja-JP"/>
      </w:rPr>
    </w:lvl>
    <w:lvl w:ilvl="5" w:tentative="0">
      <w:start w:val="0"/>
      <w:numFmt w:val="bullet"/>
      <w:lvlText w:val="•"/>
      <w:lvlJc w:val="left"/>
      <w:pPr>
        <w:ind w:left="5593" w:hanging="241"/>
      </w:pPr>
      <w:rPr>
        <w:rFonts w:hint="default"/>
        <w:lang w:val="ja-JP" w:eastAsia="ja-JP" w:bidi="ja-JP"/>
      </w:rPr>
    </w:lvl>
    <w:lvl w:ilvl="6" w:tentative="0">
      <w:start w:val="0"/>
      <w:numFmt w:val="bullet"/>
      <w:lvlText w:val="•"/>
      <w:lvlJc w:val="left"/>
      <w:pPr>
        <w:ind w:left="6615" w:hanging="241"/>
      </w:pPr>
      <w:rPr>
        <w:rFonts w:hint="default"/>
        <w:lang w:val="ja-JP" w:eastAsia="ja-JP" w:bidi="ja-JP"/>
      </w:rPr>
    </w:lvl>
    <w:lvl w:ilvl="7" w:tentative="0">
      <w:start w:val="0"/>
      <w:numFmt w:val="bullet"/>
      <w:lvlText w:val="•"/>
      <w:lvlJc w:val="left"/>
      <w:pPr>
        <w:ind w:left="7638" w:hanging="241"/>
      </w:pPr>
      <w:rPr>
        <w:rFonts w:hint="default"/>
        <w:lang w:val="ja-JP" w:eastAsia="ja-JP" w:bidi="ja-JP"/>
      </w:rPr>
    </w:lvl>
    <w:lvl w:ilvl="8" w:tentative="0">
      <w:start w:val="0"/>
      <w:numFmt w:val="bullet"/>
      <w:lvlText w:val="•"/>
      <w:lvlJc w:val="left"/>
      <w:pPr>
        <w:ind w:left="8661" w:hanging="241"/>
      </w:pPr>
      <w:rPr>
        <w:rFonts w:hint="default"/>
        <w:lang w:val="ja-JP" w:eastAsia="ja-JP" w:bidi="ja-JP"/>
      </w:rPr>
    </w:lvl>
  </w:abstractNum>
  <w:abstractNum w:abstractNumId="8">
    <w:nsid w:val="F2C0AEFA"/>
    <w:multiLevelType w:val="singleLevel"/>
    <w:tmpl w:val="F2C0AEFA"/>
    <w:lvl w:ilvl="0" w:tentative="0">
      <w:start w:val="2"/>
      <w:numFmt w:val="decimal"/>
      <w:suff w:val="nothing"/>
      <w:lvlText w:val="%1、"/>
      <w:lvlJc w:val="left"/>
    </w:lvl>
  </w:abstractNum>
  <w:abstractNum w:abstractNumId="9">
    <w:nsid w:val="00000006"/>
    <w:multiLevelType w:val="singleLevel"/>
    <w:tmpl w:val="00000006"/>
    <w:lvl w:ilvl="0" w:tentative="0">
      <w:start w:val="1"/>
      <w:numFmt w:val="decimal"/>
      <w:suff w:val="nothing"/>
      <w:lvlText w:val="（%1）"/>
      <w:lvlJc w:val="left"/>
    </w:lvl>
  </w:abstractNum>
  <w:abstractNum w:abstractNumId="10">
    <w:nsid w:val="243FCF68"/>
    <w:multiLevelType w:val="multilevel"/>
    <w:tmpl w:val="243FCF68"/>
    <w:lvl w:ilvl="0" w:tentative="0">
      <w:start w:val="2"/>
      <w:numFmt w:val="decimal"/>
      <w:lvlText w:val="%1."/>
      <w:lvlJc w:val="left"/>
      <w:pPr>
        <w:ind w:left="901" w:hanging="424"/>
        <w:jc w:val="right"/>
      </w:pPr>
      <w:rPr>
        <w:rFonts w:hint="default"/>
        <w:b/>
        <w:bCs/>
        <w:spacing w:val="0"/>
        <w:w w:val="99"/>
        <w:lang w:val="ja-JP" w:eastAsia="ja-JP" w:bidi="ja-JP"/>
      </w:rPr>
    </w:lvl>
    <w:lvl w:ilvl="1" w:tentative="0">
      <w:start w:val="0"/>
      <w:numFmt w:val="bullet"/>
      <w:lvlText w:val="•"/>
      <w:lvlJc w:val="left"/>
      <w:pPr>
        <w:ind w:left="3840" w:hanging="424"/>
      </w:pPr>
      <w:rPr>
        <w:rFonts w:hint="default"/>
        <w:lang w:val="ja-JP" w:eastAsia="ja-JP" w:bidi="ja-JP"/>
      </w:rPr>
    </w:lvl>
    <w:lvl w:ilvl="2" w:tentative="0">
      <w:start w:val="0"/>
      <w:numFmt w:val="bullet"/>
      <w:lvlText w:val="•"/>
      <w:lvlJc w:val="left"/>
      <w:pPr>
        <w:ind w:left="4602" w:hanging="424"/>
      </w:pPr>
      <w:rPr>
        <w:rFonts w:hint="default"/>
        <w:lang w:val="ja-JP" w:eastAsia="ja-JP" w:bidi="ja-JP"/>
      </w:rPr>
    </w:lvl>
    <w:lvl w:ilvl="3" w:tentative="0">
      <w:start w:val="0"/>
      <w:numFmt w:val="bullet"/>
      <w:lvlText w:val="•"/>
      <w:lvlJc w:val="left"/>
      <w:pPr>
        <w:ind w:left="5365" w:hanging="424"/>
      </w:pPr>
      <w:rPr>
        <w:rFonts w:hint="default"/>
        <w:lang w:val="ja-JP" w:eastAsia="ja-JP" w:bidi="ja-JP"/>
      </w:rPr>
    </w:lvl>
    <w:lvl w:ilvl="4" w:tentative="0">
      <w:start w:val="0"/>
      <w:numFmt w:val="bullet"/>
      <w:lvlText w:val="•"/>
      <w:lvlJc w:val="left"/>
      <w:pPr>
        <w:ind w:left="6128" w:hanging="424"/>
      </w:pPr>
      <w:rPr>
        <w:rFonts w:hint="default"/>
        <w:lang w:val="ja-JP" w:eastAsia="ja-JP" w:bidi="ja-JP"/>
      </w:rPr>
    </w:lvl>
    <w:lvl w:ilvl="5" w:tentative="0">
      <w:start w:val="0"/>
      <w:numFmt w:val="bullet"/>
      <w:lvlText w:val="•"/>
      <w:lvlJc w:val="left"/>
      <w:pPr>
        <w:ind w:left="6891" w:hanging="424"/>
      </w:pPr>
      <w:rPr>
        <w:rFonts w:hint="default"/>
        <w:lang w:val="ja-JP" w:eastAsia="ja-JP" w:bidi="ja-JP"/>
      </w:rPr>
    </w:lvl>
    <w:lvl w:ilvl="6" w:tentative="0">
      <w:start w:val="0"/>
      <w:numFmt w:val="bullet"/>
      <w:lvlText w:val="•"/>
      <w:lvlJc w:val="left"/>
      <w:pPr>
        <w:ind w:left="7654" w:hanging="424"/>
      </w:pPr>
      <w:rPr>
        <w:rFonts w:hint="default"/>
        <w:lang w:val="ja-JP" w:eastAsia="ja-JP" w:bidi="ja-JP"/>
      </w:rPr>
    </w:lvl>
    <w:lvl w:ilvl="7" w:tentative="0">
      <w:start w:val="0"/>
      <w:numFmt w:val="bullet"/>
      <w:lvlText w:val="•"/>
      <w:lvlJc w:val="left"/>
      <w:pPr>
        <w:ind w:left="8417" w:hanging="424"/>
      </w:pPr>
      <w:rPr>
        <w:rFonts w:hint="default"/>
        <w:lang w:val="ja-JP" w:eastAsia="ja-JP" w:bidi="ja-JP"/>
      </w:rPr>
    </w:lvl>
    <w:lvl w:ilvl="8" w:tentative="0">
      <w:start w:val="0"/>
      <w:numFmt w:val="bullet"/>
      <w:lvlText w:val="•"/>
      <w:lvlJc w:val="left"/>
      <w:pPr>
        <w:ind w:left="9180" w:hanging="424"/>
      </w:pPr>
      <w:rPr>
        <w:rFonts w:hint="default"/>
        <w:lang w:val="ja-JP" w:eastAsia="ja-JP" w:bidi="ja-JP"/>
      </w:rPr>
    </w:lvl>
  </w:abstractNum>
  <w:abstractNum w:abstractNumId="11">
    <w:nsid w:val="2470EC97"/>
    <w:multiLevelType w:val="multilevel"/>
    <w:tmpl w:val="2470EC97"/>
    <w:lvl w:ilvl="0" w:tentative="0">
      <w:start w:val="1"/>
      <w:numFmt w:val="decimal"/>
      <w:lvlText w:val="（%1）"/>
      <w:lvlJc w:val="left"/>
      <w:pPr>
        <w:ind w:left="1081" w:hanging="602"/>
      </w:pPr>
      <w:rPr>
        <w:rFonts w:hint="default" w:ascii="宋体" w:hAnsi="宋体" w:eastAsia="宋体" w:cs="宋体"/>
        <w:w w:val="100"/>
        <w:sz w:val="22"/>
        <w:szCs w:val="22"/>
        <w:lang w:val="ja-JP" w:eastAsia="ja-JP" w:bidi="ja-JP"/>
      </w:rPr>
    </w:lvl>
    <w:lvl w:ilvl="1" w:tentative="0">
      <w:start w:val="0"/>
      <w:numFmt w:val="bullet"/>
      <w:lvlText w:val="•"/>
      <w:lvlJc w:val="left"/>
      <w:pPr>
        <w:ind w:left="2042" w:hanging="602"/>
      </w:pPr>
      <w:rPr>
        <w:rFonts w:hint="default"/>
        <w:lang w:val="ja-JP" w:eastAsia="ja-JP" w:bidi="ja-JP"/>
      </w:rPr>
    </w:lvl>
    <w:lvl w:ilvl="2" w:tentative="0">
      <w:start w:val="0"/>
      <w:numFmt w:val="bullet"/>
      <w:lvlText w:val="•"/>
      <w:lvlJc w:val="left"/>
      <w:pPr>
        <w:ind w:left="3005" w:hanging="602"/>
      </w:pPr>
      <w:rPr>
        <w:rFonts w:hint="default"/>
        <w:lang w:val="ja-JP" w:eastAsia="ja-JP" w:bidi="ja-JP"/>
      </w:rPr>
    </w:lvl>
    <w:lvl w:ilvl="3" w:tentative="0">
      <w:start w:val="0"/>
      <w:numFmt w:val="bullet"/>
      <w:lvlText w:val="•"/>
      <w:lvlJc w:val="left"/>
      <w:pPr>
        <w:ind w:left="3967" w:hanging="602"/>
      </w:pPr>
      <w:rPr>
        <w:rFonts w:hint="default"/>
        <w:lang w:val="ja-JP" w:eastAsia="ja-JP" w:bidi="ja-JP"/>
      </w:rPr>
    </w:lvl>
    <w:lvl w:ilvl="4" w:tentative="0">
      <w:start w:val="0"/>
      <w:numFmt w:val="bullet"/>
      <w:lvlText w:val="•"/>
      <w:lvlJc w:val="left"/>
      <w:pPr>
        <w:ind w:left="4930" w:hanging="602"/>
      </w:pPr>
      <w:rPr>
        <w:rFonts w:hint="default"/>
        <w:lang w:val="ja-JP" w:eastAsia="ja-JP" w:bidi="ja-JP"/>
      </w:rPr>
    </w:lvl>
    <w:lvl w:ilvl="5" w:tentative="0">
      <w:start w:val="0"/>
      <w:numFmt w:val="bullet"/>
      <w:lvlText w:val="•"/>
      <w:lvlJc w:val="left"/>
      <w:pPr>
        <w:ind w:left="5893" w:hanging="602"/>
      </w:pPr>
      <w:rPr>
        <w:rFonts w:hint="default"/>
        <w:lang w:val="ja-JP" w:eastAsia="ja-JP" w:bidi="ja-JP"/>
      </w:rPr>
    </w:lvl>
    <w:lvl w:ilvl="6" w:tentative="0">
      <w:start w:val="0"/>
      <w:numFmt w:val="bullet"/>
      <w:lvlText w:val="•"/>
      <w:lvlJc w:val="left"/>
      <w:pPr>
        <w:ind w:left="6855" w:hanging="602"/>
      </w:pPr>
      <w:rPr>
        <w:rFonts w:hint="default"/>
        <w:lang w:val="ja-JP" w:eastAsia="ja-JP" w:bidi="ja-JP"/>
      </w:rPr>
    </w:lvl>
    <w:lvl w:ilvl="7" w:tentative="0">
      <w:start w:val="0"/>
      <w:numFmt w:val="bullet"/>
      <w:lvlText w:val="•"/>
      <w:lvlJc w:val="left"/>
      <w:pPr>
        <w:ind w:left="7818" w:hanging="602"/>
      </w:pPr>
      <w:rPr>
        <w:rFonts w:hint="default"/>
        <w:lang w:val="ja-JP" w:eastAsia="ja-JP" w:bidi="ja-JP"/>
      </w:rPr>
    </w:lvl>
    <w:lvl w:ilvl="8" w:tentative="0">
      <w:start w:val="0"/>
      <w:numFmt w:val="bullet"/>
      <w:lvlText w:val="•"/>
      <w:lvlJc w:val="left"/>
      <w:pPr>
        <w:ind w:left="8781" w:hanging="602"/>
      </w:pPr>
      <w:rPr>
        <w:rFonts w:hint="default"/>
        <w:lang w:val="ja-JP" w:eastAsia="ja-JP" w:bidi="ja-JP"/>
      </w:rPr>
    </w:lvl>
  </w:abstractNum>
  <w:abstractNum w:abstractNumId="12">
    <w:nsid w:val="2B632451"/>
    <w:multiLevelType w:val="multilevel"/>
    <w:tmpl w:val="2B632451"/>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210"/>
        </w:tabs>
        <w:ind w:left="210" w:firstLine="35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13">
    <w:nsid w:val="30FC5B15"/>
    <w:multiLevelType w:val="multilevel"/>
    <w:tmpl w:val="30FC5B15"/>
    <w:lvl w:ilvl="0" w:tentative="0">
      <w:start w:val="1"/>
      <w:numFmt w:val="decimal"/>
      <w:lvlText w:val="（%1）"/>
      <w:lvlJc w:val="left"/>
      <w:pPr>
        <w:ind w:left="842" w:hanging="605"/>
      </w:pPr>
      <w:rPr>
        <w:rFonts w:hint="default" w:ascii="宋体" w:hAnsi="宋体" w:eastAsia="宋体" w:cs="宋体"/>
        <w:b/>
        <w:bCs/>
        <w:spacing w:val="0"/>
        <w:w w:val="99"/>
        <w:sz w:val="22"/>
        <w:szCs w:val="22"/>
        <w:lang w:val="ja-JP" w:eastAsia="ja-JP" w:bidi="ja-JP"/>
      </w:rPr>
    </w:lvl>
    <w:lvl w:ilvl="1" w:tentative="0">
      <w:start w:val="2"/>
      <w:numFmt w:val="decimal"/>
      <w:lvlText w:val="（%2）"/>
      <w:lvlJc w:val="left"/>
      <w:pPr>
        <w:ind w:left="1182" w:hanging="705"/>
      </w:pPr>
      <w:rPr>
        <w:rFonts w:hint="default" w:ascii="宋体" w:hAnsi="宋体" w:eastAsia="宋体" w:cs="宋体"/>
        <w:b/>
        <w:bCs/>
        <w:w w:val="99"/>
        <w:sz w:val="26"/>
        <w:szCs w:val="26"/>
        <w:lang w:val="ja-JP" w:eastAsia="ja-JP" w:bidi="ja-JP"/>
      </w:rPr>
    </w:lvl>
    <w:lvl w:ilvl="2" w:tentative="0">
      <w:start w:val="0"/>
      <w:numFmt w:val="bullet"/>
      <w:lvlText w:val="•"/>
      <w:lvlJc w:val="left"/>
      <w:pPr>
        <w:ind w:left="2238" w:hanging="705"/>
      </w:pPr>
      <w:rPr>
        <w:rFonts w:hint="default"/>
        <w:lang w:val="ja-JP" w:eastAsia="ja-JP" w:bidi="ja-JP"/>
      </w:rPr>
    </w:lvl>
    <w:lvl w:ilvl="3" w:tentative="0">
      <w:start w:val="0"/>
      <w:numFmt w:val="bullet"/>
      <w:lvlText w:val="•"/>
      <w:lvlJc w:val="left"/>
      <w:pPr>
        <w:ind w:left="3296" w:hanging="705"/>
      </w:pPr>
      <w:rPr>
        <w:rFonts w:hint="default"/>
        <w:lang w:val="ja-JP" w:eastAsia="ja-JP" w:bidi="ja-JP"/>
      </w:rPr>
    </w:lvl>
    <w:lvl w:ilvl="4" w:tentative="0">
      <w:start w:val="0"/>
      <w:numFmt w:val="bullet"/>
      <w:lvlText w:val="•"/>
      <w:lvlJc w:val="left"/>
      <w:pPr>
        <w:ind w:left="4355" w:hanging="705"/>
      </w:pPr>
      <w:rPr>
        <w:rFonts w:hint="default"/>
        <w:lang w:val="ja-JP" w:eastAsia="ja-JP" w:bidi="ja-JP"/>
      </w:rPr>
    </w:lvl>
    <w:lvl w:ilvl="5" w:tentative="0">
      <w:start w:val="0"/>
      <w:numFmt w:val="bullet"/>
      <w:lvlText w:val="•"/>
      <w:lvlJc w:val="left"/>
      <w:pPr>
        <w:ind w:left="5413" w:hanging="705"/>
      </w:pPr>
      <w:rPr>
        <w:rFonts w:hint="default"/>
        <w:lang w:val="ja-JP" w:eastAsia="ja-JP" w:bidi="ja-JP"/>
      </w:rPr>
    </w:lvl>
    <w:lvl w:ilvl="6" w:tentative="0">
      <w:start w:val="0"/>
      <w:numFmt w:val="bullet"/>
      <w:lvlText w:val="•"/>
      <w:lvlJc w:val="left"/>
      <w:pPr>
        <w:ind w:left="6472" w:hanging="705"/>
      </w:pPr>
      <w:rPr>
        <w:rFonts w:hint="default"/>
        <w:lang w:val="ja-JP" w:eastAsia="ja-JP" w:bidi="ja-JP"/>
      </w:rPr>
    </w:lvl>
    <w:lvl w:ilvl="7" w:tentative="0">
      <w:start w:val="0"/>
      <w:numFmt w:val="bullet"/>
      <w:lvlText w:val="•"/>
      <w:lvlJc w:val="left"/>
      <w:pPr>
        <w:ind w:left="7530" w:hanging="705"/>
      </w:pPr>
      <w:rPr>
        <w:rFonts w:hint="default"/>
        <w:lang w:val="ja-JP" w:eastAsia="ja-JP" w:bidi="ja-JP"/>
      </w:rPr>
    </w:lvl>
    <w:lvl w:ilvl="8" w:tentative="0">
      <w:start w:val="0"/>
      <w:numFmt w:val="bullet"/>
      <w:lvlText w:val="•"/>
      <w:lvlJc w:val="left"/>
      <w:pPr>
        <w:ind w:left="8589" w:hanging="705"/>
      </w:pPr>
      <w:rPr>
        <w:rFonts w:hint="default"/>
        <w:lang w:val="ja-JP" w:eastAsia="ja-JP" w:bidi="ja-JP"/>
      </w:rPr>
    </w:lvl>
  </w:abstractNum>
  <w:abstractNum w:abstractNumId="14">
    <w:nsid w:val="4D4DC07F"/>
    <w:multiLevelType w:val="multilevel"/>
    <w:tmpl w:val="4D4DC07F"/>
    <w:lvl w:ilvl="0" w:tentative="0">
      <w:start w:val="1"/>
      <w:numFmt w:val="decimal"/>
      <w:lvlText w:val="%1."/>
      <w:lvlJc w:val="left"/>
      <w:pPr>
        <w:ind w:left="1201" w:hanging="241"/>
      </w:pPr>
      <w:rPr>
        <w:rFonts w:hint="default" w:ascii="宋体" w:hAnsi="宋体" w:eastAsia="宋体" w:cs="宋体"/>
        <w:w w:val="100"/>
        <w:sz w:val="22"/>
        <w:szCs w:val="22"/>
        <w:lang w:val="ja-JP" w:eastAsia="ja-JP" w:bidi="ja-JP"/>
      </w:rPr>
    </w:lvl>
    <w:lvl w:ilvl="1" w:tentative="0">
      <w:start w:val="0"/>
      <w:numFmt w:val="bullet"/>
      <w:lvlText w:val="•"/>
      <w:lvlJc w:val="left"/>
      <w:pPr>
        <w:ind w:left="2150" w:hanging="241"/>
      </w:pPr>
      <w:rPr>
        <w:rFonts w:hint="default"/>
        <w:lang w:val="ja-JP" w:eastAsia="ja-JP" w:bidi="ja-JP"/>
      </w:rPr>
    </w:lvl>
    <w:lvl w:ilvl="2" w:tentative="0">
      <w:start w:val="0"/>
      <w:numFmt w:val="bullet"/>
      <w:lvlText w:val="•"/>
      <w:lvlJc w:val="left"/>
      <w:pPr>
        <w:ind w:left="3101" w:hanging="241"/>
      </w:pPr>
      <w:rPr>
        <w:rFonts w:hint="default"/>
        <w:lang w:val="ja-JP" w:eastAsia="ja-JP" w:bidi="ja-JP"/>
      </w:rPr>
    </w:lvl>
    <w:lvl w:ilvl="3" w:tentative="0">
      <w:start w:val="0"/>
      <w:numFmt w:val="bullet"/>
      <w:lvlText w:val="•"/>
      <w:lvlJc w:val="left"/>
      <w:pPr>
        <w:ind w:left="4051" w:hanging="241"/>
      </w:pPr>
      <w:rPr>
        <w:rFonts w:hint="default"/>
        <w:lang w:val="ja-JP" w:eastAsia="ja-JP" w:bidi="ja-JP"/>
      </w:rPr>
    </w:lvl>
    <w:lvl w:ilvl="4" w:tentative="0">
      <w:start w:val="0"/>
      <w:numFmt w:val="bullet"/>
      <w:lvlText w:val="•"/>
      <w:lvlJc w:val="left"/>
      <w:pPr>
        <w:ind w:left="5002" w:hanging="241"/>
      </w:pPr>
      <w:rPr>
        <w:rFonts w:hint="default"/>
        <w:lang w:val="ja-JP" w:eastAsia="ja-JP" w:bidi="ja-JP"/>
      </w:rPr>
    </w:lvl>
    <w:lvl w:ilvl="5" w:tentative="0">
      <w:start w:val="0"/>
      <w:numFmt w:val="bullet"/>
      <w:lvlText w:val="•"/>
      <w:lvlJc w:val="left"/>
      <w:pPr>
        <w:ind w:left="5953" w:hanging="241"/>
      </w:pPr>
      <w:rPr>
        <w:rFonts w:hint="default"/>
        <w:lang w:val="ja-JP" w:eastAsia="ja-JP" w:bidi="ja-JP"/>
      </w:rPr>
    </w:lvl>
    <w:lvl w:ilvl="6" w:tentative="0">
      <w:start w:val="0"/>
      <w:numFmt w:val="bullet"/>
      <w:lvlText w:val="•"/>
      <w:lvlJc w:val="left"/>
      <w:pPr>
        <w:ind w:left="6903" w:hanging="241"/>
      </w:pPr>
      <w:rPr>
        <w:rFonts w:hint="default"/>
        <w:lang w:val="ja-JP" w:eastAsia="ja-JP" w:bidi="ja-JP"/>
      </w:rPr>
    </w:lvl>
    <w:lvl w:ilvl="7" w:tentative="0">
      <w:start w:val="0"/>
      <w:numFmt w:val="bullet"/>
      <w:lvlText w:val="•"/>
      <w:lvlJc w:val="left"/>
      <w:pPr>
        <w:ind w:left="7854" w:hanging="241"/>
      </w:pPr>
      <w:rPr>
        <w:rFonts w:hint="default"/>
        <w:lang w:val="ja-JP" w:eastAsia="ja-JP" w:bidi="ja-JP"/>
      </w:rPr>
    </w:lvl>
    <w:lvl w:ilvl="8" w:tentative="0">
      <w:start w:val="0"/>
      <w:numFmt w:val="bullet"/>
      <w:lvlText w:val="•"/>
      <w:lvlJc w:val="left"/>
      <w:pPr>
        <w:ind w:left="8805" w:hanging="241"/>
      </w:pPr>
      <w:rPr>
        <w:rFonts w:hint="default"/>
        <w:lang w:val="ja-JP" w:eastAsia="ja-JP" w:bidi="ja-JP"/>
      </w:rPr>
    </w:lvl>
  </w:abstractNum>
  <w:abstractNum w:abstractNumId="15">
    <w:nsid w:val="4D94DA66"/>
    <w:multiLevelType w:val="multilevel"/>
    <w:tmpl w:val="4D94DA66"/>
    <w:lvl w:ilvl="0" w:tentative="0">
      <w:start w:val="2"/>
      <w:numFmt w:val="decimal"/>
      <w:lvlText w:val="%1."/>
      <w:lvlJc w:val="left"/>
      <w:pPr>
        <w:ind w:left="1439" w:hanging="241"/>
        <w:jc w:val="right"/>
      </w:pPr>
      <w:rPr>
        <w:rFonts w:hint="default"/>
        <w:spacing w:val="-1"/>
        <w:w w:val="100"/>
        <w:lang w:val="ja-JP" w:eastAsia="ja-JP" w:bidi="ja-JP"/>
      </w:rPr>
    </w:lvl>
    <w:lvl w:ilvl="1" w:tentative="0">
      <w:start w:val="0"/>
      <w:numFmt w:val="bullet"/>
      <w:lvlText w:val="•"/>
      <w:lvlJc w:val="left"/>
      <w:pPr>
        <w:ind w:left="960" w:hanging="241"/>
      </w:pPr>
      <w:rPr>
        <w:rFonts w:hint="default"/>
        <w:lang w:val="ja-JP" w:eastAsia="ja-JP" w:bidi="ja-JP"/>
      </w:rPr>
    </w:lvl>
    <w:lvl w:ilvl="2" w:tentative="0">
      <w:start w:val="0"/>
      <w:numFmt w:val="bullet"/>
      <w:lvlText w:val="•"/>
      <w:lvlJc w:val="left"/>
      <w:pPr>
        <w:ind w:left="980" w:hanging="241"/>
      </w:pPr>
      <w:rPr>
        <w:rFonts w:hint="default"/>
        <w:lang w:val="ja-JP" w:eastAsia="ja-JP" w:bidi="ja-JP"/>
      </w:rPr>
    </w:lvl>
    <w:lvl w:ilvl="3" w:tentative="0">
      <w:start w:val="0"/>
      <w:numFmt w:val="bullet"/>
      <w:lvlText w:val="•"/>
      <w:lvlJc w:val="left"/>
      <w:pPr>
        <w:ind w:left="1440" w:hanging="241"/>
      </w:pPr>
      <w:rPr>
        <w:rFonts w:hint="default"/>
        <w:lang w:val="ja-JP" w:eastAsia="ja-JP" w:bidi="ja-JP"/>
      </w:rPr>
    </w:lvl>
    <w:lvl w:ilvl="4" w:tentative="0">
      <w:start w:val="0"/>
      <w:numFmt w:val="bullet"/>
      <w:lvlText w:val="•"/>
      <w:lvlJc w:val="left"/>
      <w:pPr>
        <w:ind w:left="2763" w:hanging="241"/>
      </w:pPr>
      <w:rPr>
        <w:rFonts w:hint="default"/>
        <w:lang w:val="ja-JP" w:eastAsia="ja-JP" w:bidi="ja-JP"/>
      </w:rPr>
    </w:lvl>
    <w:lvl w:ilvl="5" w:tentative="0">
      <w:start w:val="0"/>
      <w:numFmt w:val="bullet"/>
      <w:lvlText w:val="•"/>
      <w:lvlJc w:val="left"/>
      <w:pPr>
        <w:ind w:left="4087" w:hanging="241"/>
      </w:pPr>
      <w:rPr>
        <w:rFonts w:hint="default"/>
        <w:lang w:val="ja-JP" w:eastAsia="ja-JP" w:bidi="ja-JP"/>
      </w:rPr>
    </w:lvl>
    <w:lvl w:ilvl="6" w:tentative="0">
      <w:start w:val="0"/>
      <w:numFmt w:val="bullet"/>
      <w:lvlText w:val="•"/>
      <w:lvlJc w:val="left"/>
      <w:pPr>
        <w:ind w:left="5411" w:hanging="241"/>
      </w:pPr>
      <w:rPr>
        <w:rFonts w:hint="default"/>
        <w:lang w:val="ja-JP" w:eastAsia="ja-JP" w:bidi="ja-JP"/>
      </w:rPr>
    </w:lvl>
    <w:lvl w:ilvl="7" w:tentative="0">
      <w:start w:val="0"/>
      <w:numFmt w:val="bullet"/>
      <w:lvlText w:val="•"/>
      <w:lvlJc w:val="left"/>
      <w:pPr>
        <w:ind w:left="6735" w:hanging="241"/>
      </w:pPr>
      <w:rPr>
        <w:rFonts w:hint="default"/>
        <w:lang w:val="ja-JP" w:eastAsia="ja-JP" w:bidi="ja-JP"/>
      </w:rPr>
    </w:lvl>
    <w:lvl w:ilvl="8" w:tentative="0">
      <w:start w:val="0"/>
      <w:numFmt w:val="bullet"/>
      <w:lvlText w:val="•"/>
      <w:lvlJc w:val="left"/>
      <w:pPr>
        <w:ind w:left="8058" w:hanging="241"/>
      </w:pPr>
      <w:rPr>
        <w:rFonts w:hint="default"/>
        <w:lang w:val="ja-JP" w:eastAsia="ja-JP" w:bidi="ja-JP"/>
      </w:rPr>
    </w:lvl>
  </w:abstractNum>
  <w:abstractNum w:abstractNumId="16">
    <w:nsid w:val="50997D0D"/>
    <w:multiLevelType w:val="multilevel"/>
    <w:tmpl w:val="50997D0D"/>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210"/>
        </w:tabs>
        <w:ind w:left="210" w:firstLine="35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17">
    <w:nsid w:val="5C0A719A"/>
    <w:multiLevelType w:val="multilevel"/>
    <w:tmpl w:val="5C0A719A"/>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210"/>
        </w:tabs>
        <w:ind w:left="210" w:firstLine="35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18">
    <w:nsid w:val="5F5FDD29"/>
    <w:multiLevelType w:val="singleLevel"/>
    <w:tmpl w:val="5F5FDD29"/>
    <w:lvl w:ilvl="0" w:tentative="0">
      <w:start w:val="1"/>
      <w:numFmt w:val="chineseCounting"/>
      <w:suff w:val="space"/>
      <w:lvlText w:val="第%1部分"/>
      <w:lvlJc w:val="left"/>
      <w:rPr>
        <w:rFonts w:hint="eastAsia"/>
      </w:rPr>
    </w:lvl>
  </w:abstractNum>
  <w:abstractNum w:abstractNumId="19">
    <w:nsid w:val="60A6E568"/>
    <w:multiLevelType w:val="multilevel"/>
    <w:tmpl w:val="60A6E568"/>
    <w:lvl w:ilvl="0" w:tentative="0">
      <w:start w:val="1"/>
      <w:numFmt w:val="decimal"/>
      <w:lvlText w:val="%1."/>
      <w:lvlJc w:val="left"/>
      <w:pPr>
        <w:tabs>
          <w:tab w:val="left" w:pos="567"/>
        </w:tabs>
        <w:ind w:left="0" w:firstLine="567"/>
      </w:pPr>
      <w:rPr>
        <w:rFonts w:hint="default" w:ascii="宋体" w:hAnsi="宋体" w:eastAsia="宋体" w:cs="宋体"/>
        <w:spacing w:val="0"/>
        <w:w w:val="100"/>
        <w:sz w:val="24"/>
        <w:szCs w:val="24"/>
        <w:lang w:val="ja-JP" w:eastAsia="ja-JP" w:bidi="ja-JP"/>
      </w:rPr>
    </w:lvl>
    <w:lvl w:ilvl="1" w:tentative="0">
      <w:start w:val="1"/>
      <w:numFmt w:val="decimal"/>
      <w:lvlText w:val="%1.%2."/>
      <w:lvlJc w:val="left"/>
      <w:pPr>
        <w:tabs>
          <w:tab w:val="left" w:pos="210"/>
        </w:tabs>
        <w:ind w:left="2730" w:hanging="2163"/>
      </w:pPr>
      <w:rPr>
        <w:rFonts w:hint="default" w:ascii="宋体" w:hAnsi="宋体" w:eastAsia="宋体" w:cs="宋体"/>
        <w:spacing w:val="0"/>
        <w:w w:val="100"/>
        <w:lang w:val="ja-JP" w:eastAsia="ja-JP" w:bidi="ja-JP"/>
      </w:rPr>
    </w:lvl>
    <w:lvl w:ilvl="2" w:tentative="0">
      <w:start w:val="1"/>
      <w:numFmt w:val="decimal"/>
      <w:lvlText w:val="%3)"/>
      <w:lvlJc w:val="left"/>
      <w:pPr>
        <w:tabs>
          <w:tab w:val="left" w:pos="210"/>
        </w:tabs>
        <w:ind w:left="210" w:firstLine="357"/>
      </w:pPr>
      <w:rPr>
        <w:rFonts w:hint="default" w:ascii="宋体" w:hAnsi="宋体" w:eastAsia="宋体" w:cs="宋体"/>
        <w:w w:val="100"/>
        <w:sz w:val="22"/>
        <w:szCs w:val="22"/>
        <w:lang w:val="ja-JP" w:eastAsia="ja-JP" w:bidi="ja-JP"/>
      </w:rPr>
    </w:lvl>
    <w:lvl w:ilvl="3"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4"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5"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6"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lvl w:ilvl="7" w:tentative="0">
      <w:start w:val="0"/>
      <w:numFmt w:val="bullet"/>
      <w:lvlText w:val="•"/>
      <w:lvlJc w:val="left"/>
      <w:pPr>
        <w:tabs>
          <w:tab w:val="left" w:pos="0"/>
        </w:tabs>
        <w:ind w:left="3666" w:hanging="3666"/>
      </w:pPr>
      <w:rPr>
        <w:rFonts w:hint="default" w:ascii="Times New Roman" w:hAnsi="Times New Roman" w:cs="Times New Roman"/>
        <w:lang w:val="ja-JP" w:eastAsia="ja-JP" w:bidi="ja-JP"/>
      </w:rPr>
    </w:lvl>
    <w:lvl w:ilvl="8" w:tentative="0">
      <w:start w:val="0"/>
      <w:numFmt w:val="bullet"/>
      <w:lvlText w:val="•"/>
      <w:lvlJc w:val="left"/>
      <w:pPr>
        <w:tabs>
          <w:tab w:val="left" w:pos="0"/>
        </w:tabs>
        <w:ind w:left="0" w:firstLine="0"/>
      </w:pPr>
      <w:rPr>
        <w:rFonts w:hint="default" w:ascii="Times New Roman" w:hAnsi="Times New Roman" w:cs="Times New Roman"/>
        <w:lang w:val="ja-JP" w:eastAsia="ja-JP" w:bidi="ja-JP"/>
      </w:rPr>
    </w:lvl>
  </w:abstractNum>
  <w:abstractNum w:abstractNumId="20">
    <w:nsid w:val="683F62AE"/>
    <w:multiLevelType w:val="singleLevel"/>
    <w:tmpl w:val="683F62AE"/>
    <w:lvl w:ilvl="0" w:tentative="0">
      <w:start w:val="2"/>
      <w:numFmt w:val="decimal"/>
      <w:suff w:val="nothing"/>
      <w:lvlText w:val="%1、"/>
      <w:lvlJc w:val="left"/>
    </w:lvl>
  </w:abstractNum>
  <w:abstractNum w:abstractNumId="21">
    <w:nsid w:val="7BB51C3A"/>
    <w:multiLevelType w:val="singleLevel"/>
    <w:tmpl w:val="7BB51C3A"/>
    <w:lvl w:ilvl="0" w:tentative="0">
      <w:start w:val="2"/>
      <w:numFmt w:val="decimal"/>
      <w:suff w:val="space"/>
      <w:lvlText w:val="%1."/>
      <w:lvlJc w:val="left"/>
    </w:lvl>
  </w:abstractNum>
  <w:abstractNum w:abstractNumId="22">
    <w:nsid w:val="7DEC2089"/>
    <w:multiLevelType w:val="multilevel"/>
    <w:tmpl w:val="7DEC2089"/>
    <w:lvl w:ilvl="0" w:tentative="0">
      <w:start w:val="1"/>
      <w:numFmt w:val="decimal"/>
      <w:lvlText w:val="%1."/>
      <w:lvlJc w:val="left"/>
      <w:pPr>
        <w:ind w:left="901" w:hanging="424"/>
      </w:pPr>
      <w:rPr>
        <w:rFonts w:hint="default" w:ascii="宋体" w:hAnsi="宋体" w:eastAsia="宋体" w:cs="宋体"/>
        <w:b/>
        <w:bCs/>
        <w:spacing w:val="0"/>
        <w:w w:val="99"/>
        <w:sz w:val="26"/>
        <w:szCs w:val="26"/>
        <w:lang w:val="ja-JP" w:eastAsia="ja-JP" w:bidi="ja-JP"/>
      </w:rPr>
    </w:lvl>
    <w:lvl w:ilvl="1" w:tentative="0">
      <w:start w:val="1"/>
      <w:numFmt w:val="decimal"/>
      <w:lvlText w:val="%2."/>
      <w:lvlJc w:val="left"/>
      <w:pPr>
        <w:ind w:left="1199" w:hanging="241"/>
      </w:pPr>
      <w:rPr>
        <w:rFonts w:hint="default" w:ascii="宋体" w:hAnsi="宋体" w:eastAsia="宋体" w:cs="宋体"/>
        <w:spacing w:val="-1"/>
        <w:w w:val="100"/>
        <w:sz w:val="22"/>
        <w:szCs w:val="22"/>
        <w:lang w:val="ja-JP" w:eastAsia="ja-JP" w:bidi="ja-JP"/>
      </w:rPr>
    </w:lvl>
    <w:lvl w:ilvl="2" w:tentative="0">
      <w:start w:val="0"/>
      <w:numFmt w:val="bullet"/>
      <w:lvlText w:val="•"/>
      <w:lvlJc w:val="left"/>
      <w:pPr>
        <w:ind w:left="2256" w:hanging="241"/>
      </w:pPr>
      <w:rPr>
        <w:rFonts w:hint="default"/>
        <w:lang w:val="ja-JP" w:eastAsia="ja-JP" w:bidi="ja-JP"/>
      </w:rPr>
    </w:lvl>
    <w:lvl w:ilvl="3" w:tentative="0">
      <w:start w:val="0"/>
      <w:numFmt w:val="bullet"/>
      <w:lvlText w:val="•"/>
      <w:lvlJc w:val="left"/>
      <w:pPr>
        <w:ind w:left="3312" w:hanging="241"/>
      </w:pPr>
      <w:rPr>
        <w:rFonts w:hint="default"/>
        <w:lang w:val="ja-JP" w:eastAsia="ja-JP" w:bidi="ja-JP"/>
      </w:rPr>
    </w:lvl>
    <w:lvl w:ilvl="4" w:tentative="0">
      <w:start w:val="0"/>
      <w:numFmt w:val="bullet"/>
      <w:lvlText w:val="•"/>
      <w:lvlJc w:val="left"/>
      <w:pPr>
        <w:ind w:left="4368" w:hanging="241"/>
      </w:pPr>
      <w:rPr>
        <w:rFonts w:hint="default"/>
        <w:lang w:val="ja-JP" w:eastAsia="ja-JP" w:bidi="ja-JP"/>
      </w:rPr>
    </w:lvl>
    <w:lvl w:ilvl="5" w:tentative="0">
      <w:start w:val="0"/>
      <w:numFmt w:val="bullet"/>
      <w:lvlText w:val="•"/>
      <w:lvlJc w:val="left"/>
      <w:pPr>
        <w:ind w:left="5425" w:hanging="241"/>
      </w:pPr>
      <w:rPr>
        <w:rFonts w:hint="default"/>
        <w:lang w:val="ja-JP" w:eastAsia="ja-JP" w:bidi="ja-JP"/>
      </w:rPr>
    </w:lvl>
    <w:lvl w:ilvl="6" w:tentative="0">
      <w:start w:val="0"/>
      <w:numFmt w:val="bullet"/>
      <w:lvlText w:val="•"/>
      <w:lvlJc w:val="left"/>
      <w:pPr>
        <w:ind w:left="6481" w:hanging="241"/>
      </w:pPr>
      <w:rPr>
        <w:rFonts w:hint="default"/>
        <w:lang w:val="ja-JP" w:eastAsia="ja-JP" w:bidi="ja-JP"/>
      </w:rPr>
    </w:lvl>
    <w:lvl w:ilvl="7" w:tentative="0">
      <w:start w:val="0"/>
      <w:numFmt w:val="bullet"/>
      <w:lvlText w:val="•"/>
      <w:lvlJc w:val="left"/>
      <w:pPr>
        <w:ind w:left="7537" w:hanging="241"/>
      </w:pPr>
      <w:rPr>
        <w:rFonts w:hint="default"/>
        <w:lang w:val="ja-JP" w:eastAsia="ja-JP" w:bidi="ja-JP"/>
      </w:rPr>
    </w:lvl>
    <w:lvl w:ilvl="8" w:tentative="0">
      <w:start w:val="0"/>
      <w:numFmt w:val="bullet"/>
      <w:lvlText w:val="•"/>
      <w:lvlJc w:val="left"/>
      <w:pPr>
        <w:ind w:left="8593" w:hanging="241"/>
      </w:pPr>
      <w:rPr>
        <w:rFonts w:hint="default"/>
        <w:lang w:val="ja-JP" w:eastAsia="ja-JP" w:bidi="ja-JP"/>
      </w:rPr>
    </w:lvl>
  </w:abstractNum>
  <w:num w:numId="1">
    <w:abstractNumId w:val="20"/>
  </w:num>
  <w:num w:numId="2">
    <w:abstractNumId w:val="4"/>
  </w:num>
  <w:num w:numId="3">
    <w:abstractNumId w:val="19"/>
  </w:num>
  <w:num w:numId="4">
    <w:abstractNumId w:val="16"/>
  </w:num>
  <w:num w:numId="5">
    <w:abstractNumId w:val="17"/>
  </w:num>
  <w:num w:numId="6">
    <w:abstractNumId w:val="12"/>
  </w:num>
  <w:num w:numId="7">
    <w:abstractNumId w:val="1"/>
  </w:num>
  <w:num w:numId="8">
    <w:abstractNumId w:val="2"/>
  </w:num>
  <w:num w:numId="9">
    <w:abstractNumId w:val="5"/>
  </w:num>
  <w:num w:numId="10">
    <w:abstractNumId w:val="14"/>
  </w:num>
  <w:num w:numId="11">
    <w:abstractNumId w:val="11"/>
  </w:num>
  <w:num w:numId="12">
    <w:abstractNumId w:val="6"/>
  </w:num>
  <w:num w:numId="13">
    <w:abstractNumId w:val="18"/>
  </w:num>
  <w:num w:numId="14">
    <w:abstractNumId w:val="3"/>
  </w:num>
  <w:num w:numId="15">
    <w:abstractNumId w:val="9"/>
  </w:num>
  <w:num w:numId="16">
    <w:abstractNumId w:val="21"/>
  </w:num>
  <w:num w:numId="17">
    <w:abstractNumId w:val="22"/>
  </w:num>
  <w:num w:numId="18">
    <w:abstractNumId w:val="0"/>
  </w:num>
  <w:num w:numId="19">
    <w:abstractNumId w:val="10"/>
  </w:num>
  <w:num w:numId="20">
    <w:abstractNumId w:val="15"/>
  </w:num>
  <w:num w:numId="21">
    <w:abstractNumId w:val="8"/>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hideSpellingErrors/>
  <w:hideGrammaticalErrors/>
  <w:documentProtection w:enforcement="0"/>
  <w:defaultTabStop w:val="0"/>
  <w:drawingGridHorizontalSpacing w:val="110"/>
  <w:displayHorizontalDrawingGridEvery w:val="1"/>
  <w:displayVerticalDrawingGridEvery w:val="1"/>
  <w:noPunctuationKerning w:val="true"/>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wOWZhNTdiZGU3MWQ4YmU5Mjk1MjExODY5ZTc4NGEifQ=="/>
  </w:docVars>
  <w:rsids>
    <w:rsidRoot w:val="00CD4711"/>
    <w:rsid w:val="00005402"/>
    <w:rsid w:val="0002123A"/>
    <w:rsid w:val="0009629D"/>
    <w:rsid w:val="001570FF"/>
    <w:rsid w:val="001B6281"/>
    <w:rsid w:val="002D78DF"/>
    <w:rsid w:val="002E01C1"/>
    <w:rsid w:val="00365D60"/>
    <w:rsid w:val="00494FFB"/>
    <w:rsid w:val="00515C5E"/>
    <w:rsid w:val="00562305"/>
    <w:rsid w:val="00593490"/>
    <w:rsid w:val="005A0FB6"/>
    <w:rsid w:val="005A2D64"/>
    <w:rsid w:val="00620021"/>
    <w:rsid w:val="0068199B"/>
    <w:rsid w:val="0069744B"/>
    <w:rsid w:val="006D2A98"/>
    <w:rsid w:val="006E1B51"/>
    <w:rsid w:val="00760F47"/>
    <w:rsid w:val="00776D9D"/>
    <w:rsid w:val="0087348D"/>
    <w:rsid w:val="008B1170"/>
    <w:rsid w:val="008D4484"/>
    <w:rsid w:val="00942173"/>
    <w:rsid w:val="00A322E6"/>
    <w:rsid w:val="00AA3302"/>
    <w:rsid w:val="00B01A48"/>
    <w:rsid w:val="00B0507A"/>
    <w:rsid w:val="00B05A74"/>
    <w:rsid w:val="00B32474"/>
    <w:rsid w:val="00BC757B"/>
    <w:rsid w:val="00CB5A10"/>
    <w:rsid w:val="00CD4711"/>
    <w:rsid w:val="00D348C5"/>
    <w:rsid w:val="00D64AE1"/>
    <w:rsid w:val="00DB00B0"/>
    <w:rsid w:val="00DD2916"/>
    <w:rsid w:val="00DE1932"/>
    <w:rsid w:val="00DE74CB"/>
    <w:rsid w:val="00EB0CFD"/>
    <w:rsid w:val="00EB7E60"/>
    <w:rsid w:val="00ED00C5"/>
    <w:rsid w:val="00ED3BD8"/>
    <w:rsid w:val="00FA7EBE"/>
    <w:rsid w:val="00FC206D"/>
    <w:rsid w:val="01050F22"/>
    <w:rsid w:val="010B22B0"/>
    <w:rsid w:val="01141165"/>
    <w:rsid w:val="0119677B"/>
    <w:rsid w:val="012D6141"/>
    <w:rsid w:val="015748C1"/>
    <w:rsid w:val="015B6D94"/>
    <w:rsid w:val="016C0FA1"/>
    <w:rsid w:val="017460A8"/>
    <w:rsid w:val="017936BE"/>
    <w:rsid w:val="017A477C"/>
    <w:rsid w:val="018502B5"/>
    <w:rsid w:val="01883901"/>
    <w:rsid w:val="01B464A4"/>
    <w:rsid w:val="01C0753F"/>
    <w:rsid w:val="01D86637"/>
    <w:rsid w:val="01DF79C5"/>
    <w:rsid w:val="01FA20C0"/>
    <w:rsid w:val="01FD42EF"/>
    <w:rsid w:val="02182ED7"/>
    <w:rsid w:val="022E6257"/>
    <w:rsid w:val="0247556A"/>
    <w:rsid w:val="02511F45"/>
    <w:rsid w:val="025B2DC4"/>
    <w:rsid w:val="027520D7"/>
    <w:rsid w:val="027C3466"/>
    <w:rsid w:val="02816CCE"/>
    <w:rsid w:val="028642E4"/>
    <w:rsid w:val="02897931"/>
    <w:rsid w:val="02A06DEE"/>
    <w:rsid w:val="02BA3F8E"/>
    <w:rsid w:val="02C95F7F"/>
    <w:rsid w:val="02FA438B"/>
    <w:rsid w:val="030B2A3C"/>
    <w:rsid w:val="03174F3D"/>
    <w:rsid w:val="03252286"/>
    <w:rsid w:val="03373831"/>
    <w:rsid w:val="033F6241"/>
    <w:rsid w:val="03411FB9"/>
    <w:rsid w:val="034A70C0"/>
    <w:rsid w:val="0361265C"/>
    <w:rsid w:val="039B3DC0"/>
    <w:rsid w:val="03CC3F79"/>
    <w:rsid w:val="03CD1A9F"/>
    <w:rsid w:val="03DE5A5A"/>
    <w:rsid w:val="03DF1EFE"/>
    <w:rsid w:val="03EE3EEF"/>
    <w:rsid w:val="03F359AA"/>
    <w:rsid w:val="03F60FF6"/>
    <w:rsid w:val="03FE1B9A"/>
    <w:rsid w:val="045F303F"/>
    <w:rsid w:val="04730898"/>
    <w:rsid w:val="04784101"/>
    <w:rsid w:val="048E56D2"/>
    <w:rsid w:val="04AF72A4"/>
    <w:rsid w:val="04B05649"/>
    <w:rsid w:val="04B52C5F"/>
    <w:rsid w:val="04B60C77"/>
    <w:rsid w:val="04D035F5"/>
    <w:rsid w:val="04DF7CDC"/>
    <w:rsid w:val="04E13A54"/>
    <w:rsid w:val="04E6106A"/>
    <w:rsid w:val="04E672BC"/>
    <w:rsid w:val="04ED41A7"/>
    <w:rsid w:val="05353DA0"/>
    <w:rsid w:val="05393890"/>
    <w:rsid w:val="055C132D"/>
    <w:rsid w:val="056F1060"/>
    <w:rsid w:val="05715E57"/>
    <w:rsid w:val="05976809"/>
    <w:rsid w:val="059E7B97"/>
    <w:rsid w:val="05A52CD4"/>
    <w:rsid w:val="05A54A82"/>
    <w:rsid w:val="05BB6053"/>
    <w:rsid w:val="05E00935"/>
    <w:rsid w:val="05F41565"/>
    <w:rsid w:val="06023C82"/>
    <w:rsid w:val="060F2843"/>
    <w:rsid w:val="06456265"/>
    <w:rsid w:val="06563FCE"/>
    <w:rsid w:val="066761DB"/>
    <w:rsid w:val="066E57BB"/>
    <w:rsid w:val="06734B80"/>
    <w:rsid w:val="067B3A34"/>
    <w:rsid w:val="06846D8D"/>
    <w:rsid w:val="06930D7E"/>
    <w:rsid w:val="06B036DE"/>
    <w:rsid w:val="06B70F10"/>
    <w:rsid w:val="06C54CB0"/>
    <w:rsid w:val="06E23AB3"/>
    <w:rsid w:val="06E635A4"/>
    <w:rsid w:val="06F537E7"/>
    <w:rsid w:val="07117EF5"/>
    <w:rsid w:val="071719AF"/>
    <w:rsid w:val="071E0F8F"/>
    <w:rsid w:val="074D3623"/>
    <w:rsid w:val="078132CC"/>
    <w:rsid w:val="078901E4"/>
    <w:rsid w:val="078B5EF9"/>
    <w:rsid w:val="078F7797"/>
    <w:rsid w:val="07A1571D"/>
    <w:rsid w:val="07C969BF"/>
    <w:rsid w:val="07CB4548"/>
    <w:rsid w:val="07DB2536"/>
    <w:rsid w:val="07DB478B"/>
    <w:rsid w:val="07E37AE3"/>
    <w:rsid w:val="08033CE1"/>
    <w:rsid w:val="0808579C"/>
    <w:rsid w:val="080C703A"/>
    <w:rsid w:val="08275C22"/>
    <w:rsid w:val="08297BEC"/>
    <w:rsid w:val="083B16CD"/>
    <w:rsid w:val="0854453D"/>
    <w:rsid w:val="0874698D"/>
    <w:rsid w:val="088E3EF3"/>
    <w:rsid w:val="0891753F"/>
    <w:rsid w:val="0893520F"/>
    <w:rsid w:val="08AC4379"/>
    <w:rsid w:val="08B1373D"/>
    <w:rsid w:val="08C47915"/>
    <w:rsid w:val="08C90A87"/>
    <w:rsid w:val="08D37B58"/>
    <w:rsid w:val="090D3FBD"/>
    <w:rsid w:val="09104908"/>
    <w:rsid w:val="09452FA8"/>
    <w:rsid w:val="095E1B17"/>
    <w:rsid w:val="09615163"/>
    <w:rsid w:val="097E7AC3"/>
    <w:rsid w:val="098A46BA"/>
    <w:rsid w:val="099866AB"/>
    <w:rsid w:val="099E3CC2"/>
    <w:rsid w:val="09AD65FB"/>
    <w:rsid w:val="09C556F2"/>
    <w:rsid w:val="09D27E0F"/>
    <w:rsid w:val="09E0077E"/>
    <w:rsid w:val="09F558AC"/>
    <w:rsid w:val="09F935EE"/>
    <w:rsid w:val="0A110938"/>
    <w:rsid w:val="0A3D797F"/>
    <w:rsid w:val="0A560A40"/>
    <w:rsid w:val="0A7333A0"/>
    <w:rsid w:val="0ABE2142"/>
    <w:rsid w:val="0ADF27E4"/>
    <w:rsid w:val="0AF50408"/>
    <w:rsid w:val="0AFB5144"/>
    <w:rsid w:val="0AFC56FF"/>
    <w:rsid w:val="0B024724"/>
    <w:rsid w:val="0B04049C"/>
    <w:rsid w:val="0B260413"/>
    <w:rsid w:val="0B2E72C7"/>
    <w:rsid w:val="0B304DED"/>
    <w:rsid w:val="0B444D3D"/>
    <w:rsid w:val="0B5E5DFE"/>
    <w:rsid w:val="0B756CA4"/>
    <w:rsid w:val="0B7C6285"/>
    <w:rsid w:val="0BA66539"/>
    <w:rsid w:val="0BAB0918"/>
    <w:rsid w:val="0BB377CC"/>
    <w:rsid w:val="0BD460C1"/>
    <w:rsid w:val="0BD7170D"/>
    <w:rsid w:val="0C2C3963"/>
    <w:rsid w:val="0C4D5E73"/>
    <w:rsid w:val="0C522E70"/>
    <w:rsid w:val="0C5C1C12"/>
    <w:rsid w:val="0C6236CC"/>
    <w:rsid w:val="0C811679"/>
    <w:rsid w:val="0C837345"/>
    <w:rsid w:val="0C8A2C23"/>
    <w:rsid w:val="0CB51424"/>
    <w:rsid w:val="0CBB4B8B"/>
    <w:rsid w:val="0CBE28CD"/>
    <w:rsid w:val="0CD81BE1"/>
    <w:rsid w:val="0CF54541"/>
    <w:rsid w:val="0CFB767D"/>
    <w:rsid w:val="0D0C53E6"/>
    <w:rsid w:val="0D366907"/>
    <w:rsid w:val="0D417786"/>
    <w:rsid w:val="0D5248C3"/>
    <w:rsid w:val="0D5C45C0"/>
    <w:rsid w:val="0D646FD0"/>
    <w:rsid w:val="0D662D48"/>
    <w:rsid w:val="0D6D057B"/>
    <w:rsid w:val="0D6E42F3"/>
    <w:rsid w:val="0D7116ED"/>
    <w:rsid w:val="0D7211BE"/>
    <w:rsid w:val="0D991370"/>
    <w:rsid w:val="0DAD4E1B"/>
    <w:rsid w:val="0DB937C0"/>
    <w:rsid w:val="0DBF4B4E"/>
    <w:rsid w:val="0DE325EB"/>
    <w:rsid w:val="0DF04D08"/>
    <w:rsid w:val="0E0D1416"/>
    <w:rsid w:val="0E1409F6"/>
    <w:rsid w:val="0E4F7C80"/>
    <w:rsid w:val="0E5057A7"/>
    <w:rsid w:val="0E5C239D"/>
    <w:rsid w:val="0E63197E"/>
    <w:rsid w:val="0E666D78"/>
    <w:rsid w:val="0E7476E7"/>
    <w:rsid w:val="0EC266A4"/>
    <w:rsid w:val="0ECA37AB"/>
    <w:rsid w:val="0EDD34DE"/>
    <w:rsid w:val="0EF95E3E"/>
    <w:rsid w:val="0F2E5AE8"/>
    <w:rsid w:val="0F403A6D"/>
    <w:rsid w:val="0FB32491"/>
    <w:rsid w:val="0FBB3AFC"/>
    <w:rsid w:val="0FBD0C1A"/>
    <w:rsid w:val="0FBF2BE4"/>
    <w:rsid w:val="0FCB3337"/>
    <w:rsid w:val="0FE20680"/>
    <w:rsid w:val="0FF02D9D"/>
    <w:rsid w:val="0FFB1D8D"/>
    <w:rsid w:val="0FFF1232"/>
    <w:rsid w:val="10046849"/>
    <w:rsid w:val="100B7BD7"/>
    <w:rsid w:val="10106664"/>
    <w:rsid w:val="1011186B"/>
    <w:rsid w:val="10142F30"/>
    <w:rsid w:val="101E5B5C"/>
    <w:rsid w:val="10207B26"/>
    <w:rsid w:val="10593038"/>
    <w:rsid w:val="10703EDE"/>
    <w:rsid w:val="107514F4"/>
    <w:rsid w:val="108A4FA0"/>
    <w:rsid w:val="109127D2"/>
    <w:rsid w:val="10AF2C58"/>
    <w:rsid w:val="10B93AD7"/>
    <w:rsid w:val="10C20BDE"/>
    <w:rsid w:val="10CC380A"/>
    <w:rsid w:val="10D40911"/>
    <w:rsid w:val="10D64689"/>
    <w:rsid w:val="10F863AD"/>
    <w:rsid w:val="110034B4"/>
    <w:rsid w:val="11036B00"/>
    <w:rsid w:val="11082369"/>
    <w:rsid w:val="11230F50"/>
    <w:rsid w:val="112371A2"/>
    <w:rsid w:val="1131366D"/>
    <w:rsid w:val="11535CDA"/>
    <w:rsid w:val="115B06EA"/>
    <w:rsid w:val="11A71B81"/>
    <w:rsid w:val="11B94365"/>
    <w:rsid w:val="11C6025A"/>
    <w:rsid w:val="11DC5CCF"/>
    <w:rsid w:val="12046FD4"/>
    <w:rsid w:val="120B0362"/>
    <w:rsid w:val="121D3BF2"/>
    <w:rsid w:val="122C4070"/>
    <w:rsid w:val="123D6042"/>
    <w:rsid w:val="124F64A1"/>
    <w:rsid w:val="12631F4C"/>
    <w:rsid w:val="12673285"/>
    <w:rsid w:val="12906AB9"/>
    <w:rsid w:val="12955E7E"/>
    <w:rsid w:val="1299596E"/>
    <w:rsid w:val="12C80001"/>
    <w:rsid w:val="12DE5A77"/>
    <w:rsid w:val="12F232D0"/>
    <w:rsid w:val="12F9640D"/>
    <w:rsid w:val="13433B2C"/>
    <w:rsid w:val="134C29E0"/>
    <w:rsid w:val="1356385F"/>
    <w:rsid w:val="137A57A0"/>
    <w:rsid w:val="137F2DB6"/>
    <w:rsid w:val="137F68BD"/>
    <w:rsid w:val="13806B2E"/>
    <w:rsid w:val="13855EF2"/>
    <w:rsid w:val="138C54D3"/>
    <w:rsid w:val="139F5206"/>
    <w:rsid w:val="13BB7B66"/>
    <w:rsid w:val="13C702B9"/>
    <w:rsid w:val="13CE5AEB"/>
    <w:rsid w:val="13E0137B"/>
    <w:rsid w:val="1412709D"/>
    <w:rsid w:val="14237BE5"/>
    <w:rsid w:val="143C2A55"/>
    <w:rsid w:val="144B2C98"/>
    <w:rsid w:val="14667AD2"/>
    <w:rsid w:val="14926B19"/>
    <w:rsid w:val="14A34882"/>
    <w:rsid w:val="14A800EA"/>
    <w:rsid w:val="14AD5C6B"/>
    <w:rsid w:val="14DE53F9"/>
    <w:rsid w:val="14EA425F"/>
    <w:rsid w:val="14F670A8"/>
    <w:rsid w:val="152C0D1B"/>
    <w:rsid w:val="15453B8B"/>
    <w:rsid w:val="15593193"/>
    <w:rsid w:val="15657D89"/>
    <w:rsid w:val="156F6E5A"/>
    <w:rsid w:val="1598015F"/>
    <w:rsid w:val="15B8610B"/>
    <w:rsid w:val="15BB209F"/>
    <w:rsid w:val="15C11947"/>
    <w:rsid w:val="16117F11"/>
    <w:rsid w:val="161C2B3E"/>
    <w:rsid w:val="163D0D06"/>
    <w:rsid w:val="16414301"/>
    <w:rsid w:val="16445BF1"/>
    <w:rsid w:val="164C2CF7"/>
    <w:rsid w:val="166444E5"/>
    <w:rsid w:val="166718DF"/>
    <w:rsid w:val="167A5AB7"/>
    <w:rsid w:val="16811662"/>
    <w:rsid w:val="168626AD"/>
    <w:rsid w:val="169326D4"/>
    <w:rsid w:val="169A3A63"/>
    <w:rsid w:val="16A42B33"/>
    <w:rsid w:val="16A668AC"/>
    <w:rsid w:val="16BA2357"/>
    <w:rsid w:val="16BA4105"/>
    <w:rsid w:val="16DE6045"/>
    <w:rsid w:val="16DF591A"/>
    <w:rsid w:val="16FB6BF7"/>
    <w:rsid w:val="17013AE2"/>
    <w:rsid w:val="170B2BB3"/>
    <w:rsid w:val="171810F5"/>
    <w:rsid w:val="17253C74"/>
    <w:rsid w:val="177B5642"/>
    <w:rsid w:val="178C5AA1"/>
    <w:rsid w:val="179901BE"/>
    <w:rsid w:val="17BD20FF"/>
    <w:rsid w:val="17E24E8E"/>
    <w:rsid w:val="180715CC"/>
    <w:rsid w:val="181810E3"/>
    <w:rsid w:val="1833416F"/>
    <w:rsid w:val="18414ADE"/>
    <w:rsid w:val="18463EA2"/>
    <w:rsid w:val="184719C8"/>
    <w:rsid w:val="184E2D57"/>
    <w:rsid w:val="18574301"/>
    <w:rsid w:val="185B5474"/>
    <w:rsid w:val="18664544"/>
    <w:rsid w:val="186E33F9"/>
    <w:rsid w:val="187D53EA"/>
    <w:rsid w:val="18956BD8"/>
    <w:rsid w:val="18D47700"/>
    <w:rsid w:val="18FA6A3B"/>
    <w:rsid w:val="19202945"/>
    <w:rsid w:val="19212219"/>
    <w:rsid w:val="192D6E10"/>
    <w:rsid w:val="192F2B88"/>
    <w:rsid w:val="1941466A"/>
    <w:rsid w:val="19434886"/>
    <w:rsid w:val="19622F5E"/>
    <w:rsid w:val="19662322"/>
    <w:rsid w:val="19742C91"/>
    <w:rsid w:val="198A4263"/>
    <w:rsid w:val="19940C3D"/>
    <w:rsid w:val="19BC1F42"/>
    <w:rsid w:val="19E219A9"/>
    <w:rsid w:val="19F16090"/>
    <w:rsid w:val="1A0538E9"/>
    <w:rsid w:val="1A1B4EBB"/>
    <w:rsid w:val="1A424DED"/>
    <w:rsid w:val="1A823CE2"/>
    <w:rsid w:val="1A937147"/>
    <w:rsid w:val="1ACD2659"/>
    <w:rsid w:val="1AD80FFE"/>
    <w:rsid w:val="1B063DBD"/>
    <w:rsid w:val="1B252495"/>
    <w:rsid w:val="1B3426D8"/>
    <w:rsid w:val="1B5508A0"/>
    <w:rsid w:val="1B570174"/>
    <w:rsid w:val="1B632FBD"/>
    <w:rsid w:val="1B6F3710"/>
    <w:rsid w:val="1B7156DA"/>
    <w:rsid w:val="1B723200"/>
    <w:rsid w:val="1B8D3B96"/>
    <w:rsid w:val="1B9B4505"/>
    <w:rsid w:val="1BC25F36"/>
    <w:rsid w:val="1BCB46BE"/>
    <w:rsid w:val="1BD9502D"/>
    <w:rsid w:val="1BE0460E"/>
    <w:rsid w:val="1C0320AA"/>
    <w:rsid w:val="1C054074"/>
    <w:rsid w:val="1C4526C3"/>
    <w:rsid w:val="1C4921B3"/>
    <w:rsid w:val="1C4A7CD9"/>
    <w:rsid w:val="1C5F19D6"/>
    <w:rsid w:val="1C784846"/>
    <w:rsid w:val="1C7D1E5D"/>
    <w:rsid w:val="1C7F7983"/>
    <w:rsid w:val="1C8B27CB"/>
    <w:rsid w:val="1C8E7BC6"/>
    <w:rsid w:val="1C906F0B"/>
    <w:rsid w:val="1C913B5A"/>
    <w:rsid w:val="1C961170"/>
    <w:rsid w:val="1C9D24FF"/>
    <w:rsid w:val="1CAB69CA"/>
    <w:rsid w:val="1CB17D58"/>
    <w:rsid w:val="1CD87093"/>
    <w:rsid w:val="1CDF48C5"/>
    <w:rsid w:val="1CF71C0F"/>
    <w:rsid w:val="1CFC5477"/>
    <w:rsid w:val="1D097B94"/>
    <w:rsid w:val="1D1F2F14"/>
    <w:rsid w:val="1D214EDE"/>
    <w:rsid w:val="1D2E13A9"/>
    <w:rsid w:val="1D320E99"/>
    <w:rsid w:val="1D552DD9"/>
    <w:rsid w:val="1D57445C"/>
    <w:rsid w:val="1D750D86"/>
    <w:rsid w:val="1D8965DF"/>
    <w:rsid w:val="1DBA6758"/>
    <w:rsid w:val="1DC53ABB"/>
    <w:rsid w:val="1DD27F86"/>
    <w:rsid w:val="1DF31440"/>
    <w:rsid w:val="1E206F43"/>
    <w:rsid w:val="1E2A7DC2"/>
    <w:rsid w:val="1E3824DF"/>
    <w:rsid w:val="1E543091"/>
    <w:rsid w:val="1E5D1F46"/>
    <w:rsid w:val="1E636E30"/>
    <w:rsid w:val="1E967849"/>
    <w:rsid w:val="1E9D0594"/>
    <w:rsid w:val="1EA00084"/>
    <w:rsid w:val="1ED75A22"/>
    <w:rsid w:val="1ED85A70"/>
    <w:rsid w:val="1EDF295B"/>
    <w:rsid w:val="1EF74148"/>
    <w:rsid w:val="1F212F73"/>
    <w:rsid w:val="1F2B3DF2"/>
    <w:rsid w:val="1F423A6E"/>
    <w:rsid w:val="1F4D1FBA"/>
    <w:rsid w:val="1F552C1D"/>
    <w:rsid w:val="1F65551D"/>
    <w:rsid w:val="1F813A12"/>
    <w:rsid w:val="1F884DA0"/>
    <w:rsid w:val="1F8D685B"/>
    <w:rsid w:val="1F9574BD"/>
    <w:rsid w:val="1FA140B4"/>
    <w:rsid w:val="1FBC6ED8"/>
    <w:rsid w:val="1FC658C9"/>
    <w:rsid w:val="1FE741BD"/>
    <w:rsid w:val="1FEF4E1F"/>
    <w:rsid w:val="1FF16DE9"/>
    <w:rsid w:val="1FFE1506"/>
    <w:rsid w:val="20191E9C"/>
    <w:rsid w:val="20196340"/>
    <w:rsid w:val="20256A93"/>
    <w:rsid w:val="20341601"/>
    <w:rsid w:val="20370574"/>
    <w:rsid w:val="2076109D"/>
    <w:rsid w:val="207E61A3"/>
    <w:rsid w:val="207F2647"/>
    <w:rsid w:val="208D4F4C"/>
    <w:rsid w:val="209B4FA7"/>
    <w:rsid w:val="20AC4ABE"/>
    <w:rsid w:val="20B10BB0"/>
    <w:rsid w:val="20B120D5"/>
    <w:rsid w:val="20B147CB"/>
    <w:rsid w:val="20C04A0E"/>
    <w:rsid w:val="20C20786"/>
    <w:rsid w:val="20C444FE"/>
    <w:rsid w:val="20CE712B"/>
    <w:rsid w:val="20D67D8D"/>
    <w:rsid w:val="212C3E51"/>
    <w:rsid w:val="213B5E42"/>
    <w:rsid w:val="21425423"/>
    <w:rsid w:val="215F5FD5"/>
    <w:rsid w:val="2177331E"/>
    <w:rsid w:val="219519F6"/>
    <w:rsid w:val="21AD4F92"/>
    <w:rsid w:val="21AE2AB8"/>
    <w:rsid w:val="21B300CF"/>
    <w:rsid w:val="21B75E11"/>
    <w:rsid w:val="21BF4CC5"/>
    <w:rsid w:val="21CC0469"/>
    <w:rsid w:val="21EA49ED"/>
    <w:rsid w:val="21FA7AAB"/>
    <w:rsid w:val="21FE759C"/>
    <w:rsid w:val="2208041A"/>
    <w:rsid w:val="22325497"/>
    <w:rsid w:val="22356D36"/>
    <w:rsid w:val="223B434C"/>
    <w:rsid w:val="22460F43"/>
    <w:rsid w:val="225673D8"/>
    <w:rsid w:val="227930C6"/>
    <w:rsid w:val="228B2F19"/>
    <w:rsid w:val="229677D4"/>
    <w:rsid w:val="22A01F0E"/>
    <w:rsid w:val="22DA1DB7"/>
    <w:rsid w:val="23172569"/>
    <w:rsid w:val="231921B3"/>
    <w:rsid w:val="23201794"/>
    <w:rsid w:val="232030F2"/>
    <w:rsid w:val="23386ADD"/>
    <w:rsid w:val="23503E27"/>
    <w:rsid w:val="23711FEF"/>
    <w:rsid w:val="239A1546"/>
    <w:rsid w:val="23A203FB"/>
    <w:rsid w:val="23BF0FAD"/>
    <w:rsid w:val="23C44815"/>
    <w:rsid w:val="23C87E61"/>
    <w:rsid w:val="23D031BA"/>
    <w:rsid w:val="23D700A4"/>
    <w:rsid w:val="23E6478B"/>
    <w:rsid w:val="243C3D72"/>
    <w:rsid w:val="244B0A92"/>
    <w:rsid w:val="24831FDA"/>
    <w:rsid w:val="24967F5F"/>
    <w:rsid w:val="24997A50"/>
    <w:rsid w:val="24A3442A"/>
    <w:rsid w:val="24B80EEA"/>
    <w:rsid w:val="24BE3012"/>
    <w:rsid w:val="24C83E91"/>
    <w:rsid w:val="24CF6FCD"/>
    <w:rsid w:val="24EC4023"/>
    <w:rsid w:val="24F133E8"/>
    <w:rsid w:val="24F829C8"/>
    <w:rsid w:val="251B2213"/>
    <w:rsid w:val="252C08C4"/>
    <w:rsid w:val="254310BD"/>
    <w:rsid w:val="256736AA"/>
    <w:rsid w:val="256C6F12"/>
    <w:rsid w:val="25875AFA"/>
    <w:rsid w:val="25B763DF"/>
    <w:rsid w:val="25CB1E8B"/>
    <w:rsid w:val="25DF76E4"/>
    <w:rsid w:val="25F56F08"/>
    <w:rsid w:val="26151358"/>
    <w:rsid w:val="26233A75"/>
    <w:rsid w:val="262C2DBC"/>
    <w:rsid w:val="26347A30"/>
    <w:rsid w:val="263F63D5"/>
    <w:rsid w:val="264D6D44"/>
    <w:rsid w:val="266320C3"/>
    <w:rsid w:val="266876DA"/>
    <w:rsid w:val="2685028B"/>
    <w:rsid w:val="26865DB2"/>
    <w:rsid w:val="268F110A"/>
    <w:rsid w:val="26A61FB0"/>
    <w:rsid w:val="26C012C4"/>
    <w:rsid w:val="26D22DA5"/>
    <w:rsid w:val="26D44D6F"/>
    <w:rsid w:val="26EA6341"/>
    <w:rsid w:val="26ED5E31"/>
    <w:rsid w:val="27174C5C"/>
    <w:rsid w:val="2725381D"/>
    <w:rsid w:val="27335F39"/>
    <w:rsid w:val="275814FC"/>
    <w:rsid w:val="276205CD"/>
    <w:rsid w:val="27702CEA"/>
    <w:rsid w:val="277F4CDB"/>
    <w:rsid w:val="27822A1D"/>
    <w:rsid w:val="279664C8"/>
    <w:rsid w:val="27A45891"/>
    <w:rsid w:val="27BF77CD"/>
    <w:rsid w:val="27EC7E96"/>
    <w:rsid w:val="28017DE6"/>
    <w:rsid w:val="280671AA"/>
    <w:rsid w:val="28074CD0"/>
    <w:rsid w:val="28100029"/>
    <w:rsid w:val="28321D4D"/>
    <w:rsid w:val="284468C4"/>
    <w:rsid w:val="284B72B3"/>
    <w:rsid w:val="28A013AD"/>
    <w:rsid w:val="28AF15F0"/>
    <w:rsid w:val="28BD2B0B"/>
    <w:rsid w:val="28C037FD"/>
    <w:rsid w:val="28D92B11"/>
    <w:rsid w:val="28D948BF"/>
    <w:rsid w:val="2916341D"/>
    <w:rsid w:val="293715E5"/>
    <w:rsid w:val="2939535D"/>
    <w:rsid w:val="29542197"/>
    <w:rsid w:val="295959FF"/>
    <w:rsid w:val="29626662"/>
    <w:rsid w:val="29883BEF"/>
    <w:rsid w:val="298E0913"/>
    <w:rsid w:val="29B6075C"/>
    <w:rsid w:val="29BF1D06"/>
    <w:rsid w:val="29C70BBB"/>
    <w:rsid w:val="29C94933"/>
    <w:rsid w:val="29FF0355"/>
    <w:rsid w:val="2A0616E3"/>
    <w:rsid w:val="2A102562"/>
    <w:rsid w:val="2A1127A5"/>
    <w:rsid w:val="2A1536D4"/>
    <w:rsid w:val="2A1A6F3D"/>
    <w:rsid w:val="2A263B34"/>
    <w:rsid w:val="2A4B359A"/>
    <w:rsid w:val="2A4E71EC"/>
    <w:rsid w:val="2A522B7B"/>
    <w:rsid w:val="2A905451"/>
    <w:rsid w:val="2A97233B"/>
    <w:rsid w:val="2A9B711A"/>
    <w:rsid w:val="2AB729DE"/>
    <w:rsid w:val="2AD25A69"/>
    <w:rsid w:val="2AD46E63"/>
    <w:rsid w:val="2ADF3CE2"/>
    <w:rsid w:val="2AEA2DB3"/>
    <w:rsid w:val="2AF754D0"/>
    <w:rsid w:val="2B02634F"/>
    <w:rsid w:val="2B067D9D"/>
    <w:rsid w:val="2B1716CE"/>
    <w:rsid w:val="2B200583"/>
    <w:rsid w:val="2B230073"/>
    <w:rsid w:val="2B2838DB"/>
    <w:rsid w:val="2B30453E"/>
    <w:rsid w:val="2B3B716B"/>
    <w:rsid w:val="2B5C5333"/>
    <w:rsid w:val="2B786611"/>
    <w:rsid w:val="2B794137"/>
    <w:rsid w:val="2B797C93"/>
    <w:rsid w:val="2B9351F9"/>
    <w:rsid w:val="2B9B22FF"/>
    <w:rsid w:val="2B9B5E5B"/>
    <w:rsid w:val="2B9F3B9D"/>
    <w:rsid w:val="2BB94533"/>
    <w:rsid w:val="2BC2163A"/>
    <w:rsid w:val="2BC74EA2"/>
    <w:rsid w:val="2BD61589"/>
    <w:rsid w:val="2BE315B0"/>
    <w:rsid w:val="2BF57C61"/>
    <w:rsid w:val="2C022716"/>
    <w:rsid w:val="2C0559CB"/>
    <w:rsid w:val="2C1300E8"/>
    <w:rsid w:val="2C1A1476"/>
    <w:rsid w:val="2C3047F6"/>
    <w:rsid w:val="2C3D5164"/>
    <w:rsid w:val="2C46226B"/>
    <w:rsid w:val="2C536736"/>
    <w:rsid w:val="2C9C00DD"/>
    <w:rsid w:val="2CA62D0A"/>
    <w:rsid w:val="2CAD5B6B"/>
    <w:rsid w:val="2CCB451E"/>
    <w:rsid w:val="2CCB6C14"/>
    <w:rsid w:val="2CCD0296"/>
    <w:rsid w:val="2CD1206D"/>
    <w:rsid w:val="2CD535EF"/>
    <w:rsid w:val="2CD755B9"/>
    <w:rsid w:val="2CE81574"/>
    <w:rsid w:val="2CF47F19"/>
    <w:rsid w:val="2D085772"/>
    <w:rsid w:val="2D0B0DBF"/>
    <w:rsid w:val="2D142369"/>
    <w:rsid w:val="2D2307FE"/>
    <w:rsid w:val="2D302065"/>
    <w:rsid w:val="2D391DD0"/>
    <w:rsid w:val="2D7050C6"/>
    <w:rsid w:val="2D7352E2"/>
    <w:rsid w:val="2D8F7C42"/>
    <w:rsid w:val="2D945258"/>
    <w:rsid w:val="2DAB6068"/>
    <w:rsid w:val="2DB43204"/>
    <w:rsid w:val="2DB651CE"/>
    <w:rsid w:val="2DEF248E"/>
    <w:rsid w:val="2DF87595"/>
    <w:rsid w:val="2E093550"/>
    <w:rsid w:val="2E0C1292"/>
    <w:rsid w:val="2E0E500A"/>
    <w:rsid w:val="2E13617D"/>
    <w:rsid w:val="2E141EF5"/>
    <w:rsid w:val="2E183793"/>
    <w:rsid w:val="2E222864"/>
    <w:rsid w:val="2E232138"/>
    <w:rsid w:val="2E277E7A"/>
    <w:rsid w:val="2E4B3B69"/>
    <w:rsid w:val="2E536EC1"/>
    <w:rsid w:val="2E7330BF"/>
    <w:rsid w:val="2E83358D"/>
    <w:rsid w:val="2E864BA1"/>
    <w:rsid w:val="2E87474F"/>
    <w:rsid w:val="2E9A4AF0"/>
    <w:rsid w:val="2EA414CB"/>
    <w:rsid w:val="2EA84ADB"/>
    <w:rsid w:val="2EBD258D"/>
    <w:rsid w:val="2EDC0C65"/>
    <w:rsid w:val="2EDC2A13"/>
    <w:rsid w:val="2EE10029"/>
    <w:rsid w:val="2EF02962"/>
    <w:rsid w:val="2F0D0E1E"/>
    <w:rsid w:val="2F740E9D"/>
    <w:rsid w:val="2F762E67"/>
    <w:rsid w:val="2F7E446B"/>
    <w:rsid w:val="2F7E7F6E"/>
    <w:rsid w:val="2F9037FD"/>
    <w:rsid w:val="2FC11C09"/>
    <w:rsid w:val="2FC55B9D"/>
    <w:rsid w:val="2FC736C3"/>
    <w:rsid w:val="2FD858D0"/>
    <w:rsid w:val="2FD91648"/>
    <w:rsid w:val="2FD933F6"/>
    <w:rsid w:val="2FE37DD1"/>
    <w:rsid w:val="2FF63FA8"/>
    <w:rsid w:val="3002294D"/>
    <w:rsid w:val="3038636F"/>
    <w:rsid w:val="30442F65"/>
    <w:rsid w:val="30470360"/>
    <w:rsid w:val="305A6B4F"/>
    <w:rsid w:val="30896BCA"/>
    <w:rsid w:val="308C0468"/>
    <w:rsid w:val="309317F7"/>
    <w:rsid w:val="309F63EE"/>
    <w:rsid w:val="30AB6B41"/>
    <w:rsid w:val="30B73737"/>
    <w:rsid w:val="30DB0168"/>
    <w:rsid w:val="30F85AFE"/>
    <w:rsid w:val="312132A7"/>
    <w:rsid w:val="312863E3"/>
    <w:rsid w:val="314D19A6"/>
    <w:rsid w:val="317653A0"/>
    <w:rsid w:val="317B59DD"/>
    <w:rsid w:val="317E24A7"/>
    <w:rsid w:val="318F0210"/>
    <w:rsid w:val="31AA504A"/>
    <w:rsid w:val="31B00187"/>
    <w:rsid w:val="31C3610C"/>
    <w:rsid w:val="31D57F25"/>
    <w:rsid w:val="31DB3455"/>
    <w:rsid w:val="320209E2"/>
    <w:rsid w:val="321921D0"/>
    <w:rsid w:val="323E39E4"/>
    <w:rsid w:val="324059AE"/>
    <w:rsid w:val="32430FFB"/>
    <w:rsid w:val="32452FC5"/>
    <w:rsid w:val="3264169D"/>
    <w:rsid w:val="326A47D9"/>
    <w:rsid w:val="32861DD5"/>
    <w:rsid w:val="329A50BF"/>
    <w:rsid w:val="32B048E2"/>
    <w:rsid w:val="32BA306B"/>
    <w:rsid w:val="32F347CF"/>
    <w:rsid w:val="33150BE9"/>
    <w:rsid w:val="331D35FA"/>
    <w:rsid w:val="332901F1"/>
    <w:rsid w:val="332D7CE1"/>
    <w:rsid w:val="333C6176"/>
    <w:rsid w:val="334B460B"/>
    <w:rsid w:val="33550FE6"/>
    <w:rsid w:val="33633703"/>
    <w:rsid w:val="33661445"/>
    <w:rsid w:val="337C47C4"/>
    <w:rsid w:val="33A70526"/>
    <w:rsid w:val="33CB12A8"/>
    <w:rsid w:val="33D26ADA"/>
    <w:rsid w:val="33E64947"/>
    <w:rsid w:val="33E660E2"/>
    <w:rsid w:val="34050C5E"/>
    <w:rsid w:val="34120C85"/>
    <w:rsid w:val="34140EA1"/>
    <w:rsid w:val="342015F4"/>
    <w:rsid w:val="3431735D"/>
    <w:rsid w:val="34533777"/>
    <w:rsid w:val="3458152F"/>
    <w:rsid w:val="34735BC7"/>
    <w:rsid w:val="34847DD4"/>
    <w:rsid w:val="348778C5"/>
    <w:rsid w:val="348A2F11"/>
    <w:rsid w:val="34A22009"/>
    <w:rsid w:val="34CE284E"/>
    <w:rsid w:val="34E46AC5"/>
    <w:rsid w:val="34F16887"/>
    <w:rsid w:val="351729F7"/>
    <w:rsid w:val="35193562"/>
    <w:rsid w:val="35215623"/>
    <w:rsid w:val="352C3FC8"/>
    <w:rsid w:val="35335357"/>
    <w:rsid w:val="354457B6"/>
    <w:rsid w:val="359F29EC"/>
    <w:rsid w:val="35A16764"/>
    <w:rsid w:val="35B9585C"/>
    <w:rsid w:val="35C30488"/>
    <w:rsid w:val="35D97CAC"/>
    <w:rsid w:val="35DC154A"/>
    <w:rsid w:val="35DE52C2"/>
    <w:rsid w:val="35E11256"/>
    <w:rsid w:val="35EB79DF"/>
    <w:rsid w:val="36034D29"/>
    <w:rsid w:val="36105698"/>
    <w:rsid w:val="36237179"/>
    <w:rsid w:val="362376FE"/>
    <w:rsid w:val="362C24D2"/>
    <w:rsid w:val="3632560E"/>
    <w:rsid w:val="363300B0"/>
    <w:rsid w:val="3643781B"/>
    <w:rsid w:val="365437D6"/>
    <w:rsid w:val="365B2DB7"/>
    <w:rsid w:val="36716136"/>
    <w:rsid w:val="367418D1"/>
    <w:rsid w:val="36A4650C"/>
    <w:rsid w:val="36AF6C5F"/>
    <w:rsid w:val="36B934EC"/>
    <w:rsid w:val="36C83C10"/>
    <w:rsid w:val="36C95F72"/>
    <w:rsid w:val="36D16BD5"/>
    <w:rsid w:val="36D36DF1"/>
    <w:rsid w:val="36DB5CA6"/>
    <w:rsid w:val="36E20DE2"/>
    <w:rsid w:val="36E903C3"/>
    <w:rsid w:val="3710594F"/>
    <w:rsid w:val="37180CA8"/>
    <w:rsid w:val="371F3DE4"/>
    <w:rsid w:val="37256F21"/>
    <w:rsid w:val="37272C99"/>
    <w:rsid w:val="372A4537"/>
    <w:rsid w:val="37405B09"/>
    <w:rsid w:val="3744384B"/>
    <w:rsid w:val="375872F6"/>
    <w:rsid w:val="377A101B"/>
    <w:rsid w:val="377F2AD5"/>
    <w:rsid w:val="378325C5"/>
    <w:rsid w:val="37955E55"/>
    <w:rsid w:val="37977E1F"/>
    <w:rsid w:val="379D2F5B"/>
    <w:rsid w:val="37A75B88"/>
    <w:rsid w:val="37DD15AA"/>
    <w:rsid w:val="37E868CC"/>
    <w:rsid w:val="37EF7C5B"/>
    <w:rsid w:val="38172D0E"/>
    <w:rsid w:val="382471D8"/>
    <w:rsid w:val="382F62A9"/>
    <w:rsid w:val="385075D9"/>
    <w:rsid w:val="38547ABE"/>
    <w:rsid w:val="385E26EA"/>
    <w:rsid w:val="387C0DC3"/>
    <w:rsid w:val="388A7983"/>
    <w:rsid w:val="38910D12"/>
    <w:rsid w:val="38AC16A8"/>
    <w:rsid w:val="38C033A5"/>
    <w:rsid w:val="38DE1A7D"/>
    <w:rsid w:val="38DF1EBC"/>
    <w:rsid w:val="38E2331B"/>
    <w:rsid w:val="38E86458"/>
    <w:rsid w:val="39365415"/>
    <w:rsid w:val="396C466E"/>
    <w:rsid w:val="397D3044"/>
    <w:rsid w:val="397F100E"/>
    <w:rsid w:val="39822409"/>
    <w:rsid w:val="39893797"/>
    <w:rsid w:val="39AD0063"/>
    <w:rsid w:val="39B051C8"/>
    <w:rsid w:val="39C944DB"/>
    <w:rsid w:val="39CD5D7A"/>
    <w:rsid w:val="39DF785B"/>
    <w:rsid w:val="39FE4185"/>
    <w:rsid w:val="39FF3A59"/>
    <w:rsid w:val="3A0379ED"/>
    <w:rsid w:val="3A0D43C8"/>
    <w:rsid w:val="3A176FF5"/>
    <w:rsid w:val="3A2B2B31"/>
    <w:rsid w:val="3A3951BD"/>
    <w:rsid w:val="3A52002D"/>
    <w:rsid w:val="3A695B5F"/>
    <w:rsid w:val="3A836438"/>
    <w:rsid w:val="3A8D2BD6"/>
    <w:rsid w:val="3A9B5E78"/>
    <w:rsid w:val="3A9E14C4"/>
    <w:rsid w:val="3AC60BDB"/>
    <w:rsid w:val="3AD62A0C"/>
    <w:rsid w:val="3AF15A98"/>
    <w:rsid w:val="3AF61300"/>
    <w:rsid w:val="3AFB0DA3"/>
    <w:rsid w:val="3B0F23C2"/>
    <w:rsid w:val="3B181276"/>
    <w:rsid w:val="3B343BD6"/>
    <w:rsid w:val="3B365BA1"/>
    <w:rsid w:val="3B443E1A"/>
    <w:rsid w:val="3BB865B6"/>
    <w:rsid w:val="3BF82E56"/>
    <w:rsid w:val="3C0E2679"/>
    <w:rsid w:val="3C32323E"/>
    <w:rsid w:val="3C406CD7"/>
    <w:rsid w:val="3C57224D"/>
    <w:rsid w:val="3C793F97"/>
    <w:rsid w:val="3C7F0E81"/>
    <w:rsid w:val="3C812E4B"/>
    <w:rsid w:val="3C8B6776"/>
    <w:rsid w:val="3CA32DC2"/>
    <w:rsid w:val="3CA628B2"/>
    <w:rsid w:val="3CC2593E"/>
    <w:rsid w:val="3CD411CD"/>
    <w:rsid w:val="3CE04016"/>
    <w:rsid w:val="3D015D3A"/>
    <w:rsid w:val="3D0F48FB"/>
    <w:rsid w:val="3D136199"/>
    <w:rsid w:val="3D1B6DFC"/>
    <w:rsid w:val="3D3617BF"/>
    <w:rsid w:val="3D4D2D2E"/>
    <w:rsid w:val="3D5347E8"/>
    <w:rsid w:val="3D5440BC"/>
    <w:rsid w:val="3D65451B"/>
    <w:rsid w:val="3D6F7148"/>
    <w:rsid w:val="3D8F1598"/>
    <w:rsid w:val="3DB35286"/>
    <w:rsid w:val="3DBB413B"/>
    <w:rsid w:val="3DBBC4F6"/>
    <w:rsid w:val="3DC70D32"/>
    <w:rsid w:val="3DDA6CB7"/>
    <w:rsid w:val="3DDC2A2F"/>
    <w:rsid w:val="3DE85EB5"/>
    <w:rsid w:val="3DF53AF1"/>
    <w:rsid w:val="3DF8538F"/>
    <w:rsid w:val="3E18158D"/>
    <w:rsid w:val="3E2148E6"/>
    <w:rsid w:val="3E3A7756"/>
    <w:rsid w:val="3E416D36"/>
    <w:rsid w:val="3E4D3908"/>
    <w:rsid w:val="3E570308"/>
    <w:rsid w:val="3E703177"/>
    <w:rsid w:val="3E720C9E"/>
    <w:rsid w:val="3E810EE1"/>
    <w:rsid w:val="3E897B14"/>
    <w:rsid w:val="3EBF1A09"/>
    <w:rsid w:val="3EC15781"/>
    <w:rsid w:val="3EDC6A5F"/>
    <w:rsid w:val="3EFC00A8"/>
    <w:rsid w:val="3F00274D"/>
    <w:rsid w:val="3F2F4DE1"/>
    <w:rsid w:val="3F3146B5"/>
    <w:rsid w:val="3F36616F"/>
    <w:rsid w:val="3F397A0D"/>
    <w:rsid w:val="3F406FEE"/>
    <w:rsid w:val="3F516B05"/>
    <w:rsid w:val="3F5B3E28"/>
    <w:rsid w:val="3F67457A"/>
    <w:rsid w:val="3F780536"/>
    <w:rsid w:val="3F8C2233"/>
    <w:rsid w:val="3F8E5FAB"/>
    <w:rsid w:val="3FA550A3"/>
    <w:rsid w:val="3FBF43B6"/>
    <w:rsid w:val="3FCA4B09"/>
    <w:rsid w:val="3FD55988"/>
    <w:rsid w:val="3FD80FD4"/>
    <w:rsid w:val="3FE536F1"/>
    <w:rsid w:val="401C5365"/>
    <w:rsid w:val="403F1053"/>
    <w:rsid w:val="40512B35"/>
    <w:rsid w:val="40534AFF"/>
    <w:rsid w:val="40666268"/>
    <w:rsid w:val="407A02DD"/>
    <w:rsid w:val="407C22A8"/>
    <w:rsid w:val="40860A30"/>
    <w:rsid w:val="40B41A41"/>
    <w:rsid w:val="40C357E1"/>
    <w:rsid w:val="40D55514"/>
    <w:rsid w:val="40DC2D46"/>
    <w:rsid w:val="40ED4F53"/>
    <w:rsid w:val="41406E31"/>
    <w:rsid w:val="41432DC5"/>
    <w:rsid w:val="414803DC"/>
    <w:rsid w:val="415B1EBD"/>
    <w:rsid w:val="4162324B"/>
    <w:rsid w:val="41652D3C"/>
    <w:rsid w:val="41744D2D"/>
    <w:rsid w:val="41782A6F"/>
    <w:rsid w:val="41A970CC"/>
    <w:rsid w:val="41AA074E"/>
    <w:rsid w:val="41B810BD"/>
    <w:rsid w:val="41E974C9"/>
    <w:rsid w:val="41EA3241"/>
    <w:rsid w:val="41FB71FC"/>
    <w:rsid w:val="422B5D33"/>
    <w:rsid w:val="422C1AAB"/>
    <w:rsid w:val="42442951"/>
    <w:rsid w:val="429531AD"/>
    <w:rsid w:val="42DF08CC"/>
    <w:rsid w:val="42DF267A"/>
    <w:rsid w:val="42FA5706"/>
    <w:rsid w:val="431E13F4"/>
    <w:rsid w:val="432509D4"/>
    <w:rsid w:val="43252782"/>
    <w:rsid w:val="4342226B"/>
    <w:rsid w:val="43454BD3"/>
    <w:rsid w:val="434A043B"/>
    <w:rsid w:val="434B5F61"/>
    <w:rsid w:val="43616336"/>
    <w:rsid w:val="4374370A"/>
    <w:rsid w:val="437E6337"/>
    <w:rsid w:val="43923B90"/>
    <w:rsid w:val="4392593E"/>
    <w:rsid w:val="43AA2C88"/>
    <w:rsid w:val="43AF64F0"/>
    <w:rsid w:val="43B458B4"/>
    <w:rsid w:val="43C7383A"/>
    <w:rsid w:val="43E443EC"/>
    <w:rsid w:val="43FF1225"/>
    <w:rsid w:val="44446C38"/>
    <w:rsid w:val="444E7AB7"/>
    <w:rsid w:val="44507CD3"/>
    <w:rsid w:val="44615A3C"/>
    <w:rsid w:val="44782D86"/>
    <w:rsid w:val="447A33B5"/>
    <w:rsid w:val="44894F93"/>
    <w:rsid w:val="449556E6"/>
    <w:rsid w:val="44A122DD"/>
    <w:rsid w:val="44C47D79"/>
    <w:rsid w:val="44DF4BB3"/>
    <w:rsid w:val="44F87A23"/>
    <w:rsid w:val="44FA19ED"/>
    <w:rsid w:val="45012D7B"/>
    <w:rsid w:val="45097E82"/>
    <w:rsid w:val="45132AAF"/>
    <w:rsid w:val="45154A79"/>
    <w:rsid w:val="452847AC"/>
    <w:rsid w:val="453A003B"/>
    <w:rsid w:val="453C2005"/>
    <w:rsid w:val="45575091"/>
    <w:rsid w:val="45592BB7"/>
    <w:rsid w:val="455A06DD"/>
    <w:rsid w:val="455E01CE"/>
    <w:rsid w:val="456D0411"/>
    <w:rsid w:val="457277D5"/>
    <w:rsid w:val="457E43CC"/>
    <w:rsid w:val="457F208C"/>
    <w:rsid w:val="458C4D3B"/>
    <w:rsid w:val="45943BEF"/>
    <w:rsid w:val="45AD4CB1"/>
    <w:rsid w:val="45BB73CE"/>
    <w:rsid w:val="45E5444B"/>
    <w:rsid w:val="45F34DBA"/>
    <w:rsid w:val="462D194E"/>
    <w:rsid w:val="46410AC4"/>
    <w:rsid w:val="4646138E"/>
    <w:rsid w:val="464F7B16"/>
    <w:rsid w:val="46511AE0"/>
    <w:rsid w:val="466C06C8"/>
    <w:rsid w:val="467D4684"/>
    <w:rsid w:val="469A5235"/>
    <w:rsid w:val="46AE4B1F"/>
    <w:rsid w:val="46B439B7"/>
    <w:rsid w:val="46C71DA3"/>
    <w:rsid w:val="46D149CF"/>
    <w:rsid w:val="46D22C21"/>
    <w:rsid w:val="46D3270E"/>
    <w:rsid w:val="46E14C12"/>
    <w:rsid w:val="46F5246C"/>
    <w:rsid w:val="47017063"/>
    <w:rsid w:val="471A1ED2"/>
    <w:rsid w:val="471C20EE"/>
    <w:rsid w:val="47303AB7"/>
    <w:rsid w:val="47486A40"/>
    <w:rsid w:val="476870E2"/>
    <w:rsid w:val="478A52AA"/>
    <w:rsid w:val="47A04ACD"/>
    <w:rsid w:val="47A45C40"/>
    <w:rsid w:val="47B6609F"/>
    <w:rsid w:val="47C00CCC"/>
    <w:rsid w:val="47E50732"/>
    <w:rsid w:val="48001A16"/>
    <w:rsid w:val="48052B82"/>
    <w:rsid w:val="482A4397"/>
    <w:rsid w:val="483B65A4"/>
    <w:rsid w:val="483D40CA"/>
    <w:rsid w:val="484D0086"/>
    <w:rsid w:val="48853CC3"/>
    <w:rsid w:val="489B5295"/>
    <w:rsid w:val="48A028AB"/>
    <w:rsid w:val="48D367DD"/>
    <w:rsid w:val="48F055E1"/>
    <w:rsid w:val="48FA645F"/>
    <w:rsid w:val="48FF5824"/>
    <w:rsid w:val="49044BE8"/>
    <w:rsid w:val="49072C97"/>
    <w:rsid w:val="490966A2"/>
    <w:rsid w:val="490B41C9"/>
    <w:rsid w:val="49184B37"/>
    <w:rsid w:val="4922705E"/>
    <w:rsid w:val="4933371F"/>
    <w:rsid w:val="493F3E72"/>
    <w:rsid w:val="49425710"/>
    <w:rsid w:val="49470F79"/>
    <w:rsid w:val="49477342"/>
    <w:rsid w:val="497C50C6"/>
    <w:rsid w:val="49872372"/>
    <w:rsid w:val="49AB1508"/>
    <w:rsid w:val="49AE42D7"/>
    <w:rsid w:val="49BE56DF"/>
    <w:rsid w:val="49F25388"/>
    <w:rsid w:val="49FE3D2D"/>
    <w:rsid w:val="4A02381D"/>
    <w:rsid w:val="4A1B48DF"/>
    <w:rsid w:val="4A225C6E"/>
    <w:rsid w:val="4A4C61F3"/>
    <w:rsid w:val="4A5C2802"/>
    <w:rsid w:val="4A5D6CA6"/>
    <w:rsid w:val="4A6718D3"/>
    <w:rsid w:val="4A7F4E6E"/>
    <w:rsid w:val="4A965D14"/>
    <w:rsid w:val="4A9D52F4"/>
    <w:rsid w:val="4AA82E5E"/>
    <w:rsid w:val="4AB4263E"/>
    <w:rsid w:val="4AB663B6"/>
    <w:rsid w:val="4AC7411F"/>
    <w:rsid w:val="4AD66A58"/>
    <w:rsid w:val="4AEC002A"/>
    <w:rsid w:val="4B0B04B0"/>
    <w:rsid w:val="4B117A90"/>
    <w:rsid w:val="4B1650A7"/>
    <w:rsid w:val="4B810772"/>
    <w:rsid w:val="4B9106E2"/>
    <w:rsid w:val="4BB328F5"/>
    <w:rsid w:val="4BCB5E91"/>
    <w:rsid w:val="4BCD1C09"/>
    <w:rsid w:val="4BD20FCE"/>
    <w:rsid w:val="4BD25472"/>
    <w:rsid w:val="4BD72A88"/>
    <w:rsid w:val="4BDC009E"/>
    <w:rsid w:val="4BF70A34"/>
    <w:rsid w:val="4BFE0015"/>
    <w:rsid w:val="4C0A0767"/>
    <w:rsid w:val="4C0F5D7E"/>
    <w:rsid w:val="4C237A7B"/>
    <w:rsid w:val="4C373527"/>
    <w:rsid w:val="4C4B0D80"/>
    <w:rsid w:val="4C4D68A6"/>
    <w:rsid w:val="4C5145E8"/>
    <w:rsid w:val="4C547C35"/>
    <w:rsid w:val="4C716A38"/>
    <w:rsid w:val="4C8229F4"/>
    <w:rsid w:val="4CC528E0"/>
    <w:rsid w:val="4CD6689C"/>
    <w:rsid w:val="4CDA1567"/>
    <w:rsid w:val="4CDB65A8"/>
    <w:rsid w:val="4D227D33"/>
    <w:rsid w:val="4D3A32CE"/>
    <w:rsid w:val="4D4C4DB0"/>
    <w:rsid w:val="4D834C75"/>
    <w:rsid w:val="4D8E361A"/>
    <w:rsid w:val="4DAA338D"/>
    <w:rsid w:val="4DC86F4A"/>
    <w:rsid w:val="4DCB3F26"/>
    <w:rsid w:val="4DCD4142"/>
    <w:rsid w:val="4DDA685F"/>
    <w:rsid w:val="4DF55447"/>
    <w:rsid w:val="4E345F70"/>
    <w:rsid w:val="4E37780E"/>
    <w:rsid w:val="4E43575C"/>
    <w:rsid w:val="4E5B79A0"/>
    <w:rsid w:val="4E6D1482"/>
    <w:rsid w:val="4E740A62"/>
    <w:rsid w:val="4E7D7917"/>
    <w:rsid w:val="4ED25E85"/>
    <w:rsid w:val="4EF474AD"/>
    <w:rsid w:val="4F0040A4"/>
    <w:rsid w:val="4F1B2C8C"/>
    <w:rsid w:val="4F22314A"/>
    <w:rsid w:val="4F3124AF"/>
    <w:rsid w:val="4F3517CE"/>
    <w:rsid w:val="4F6463E1"/>
    <w:rsid w:val="4F674123"/>
    <w:rsid w:val="4F756840"/>
    <w:rsid w:val="4F7F321A"/>
    <w:rsid w:val="4F952A3E"/>
    <w:rsid w:val="4F9A62A6"/>
    <w:rsid w:val="4FB37368"/>
    <w:rsid w:val="4FB634A4"/>
    <w:rsid w:val="4FBA24A4"/>
    <w:rsid w:val="4FBC446F"/>
    <w:rsid w:val="4FBC621D"/>
    <w:rsid w:val="4FD73056"/>
    <w:rsid w:val="4FDA48F5"/>
    <w:rsid w:val="4FE45773"/>
    <w:rsid w:val="4FE72F1C"/>
    <w:rsid w:val="4FFA0AF3"/>
    <w:rsid w:val="501C315F"/>
    <w:rsid w:val="50210776"/>
    <w:rsid w:val="50746AF7"/>
    <w:rsid w:val="508B3E41"/>
    <w:rsid w:val="508D7BB9"/>
    <w:rsid w:val="509251CF"/>
    <w:rsid w:val="50A373DC"/>
    <w:rsid w:val="50DD469C"/>
    <w:rsid w:val="50E26CDD"/>
    <w:rsid w:val="510C08F5"/>
    <w:rsid w:val="510C4F82"/>
    <w:rsid w:val="510D2AA8"/>
    <w:rsid w:val="510F6820"/>
    <w:rsid w:val="51220301"/>
    <w:rsid w:val="51275918"/>
    <w:rsid w:val="51281690"/>
    <w:rsid w:val="51483BB6"/>
    <w:rsid w:val="514F706F"/>
    <w:rsid w:val="51542485"/>
    <w:rsid w:val="515661FD"/>
    <w:rsid w:val="516A7EFA"/>
    <w:rsid w:val="516C3C72"/>
    <w:rsid w:val="518A40F8"/>
    <w:rsid w:val="519D3E2C"/>
    <w:rsid w:val="51A52CE0"/>
    <w:rsid w:val="51B00003"/>
    <w:rsid w:val="51B7313F"/>
    <w:rsid w:val="51C413B8"/>
    <w:rsid w:val="51D66CF6"/>
    <w:rsid w:val="51DC0DF8"/>
    <w:rsid w:val="51EE28D9"/>
    <w:rsid w:val="52097713"/>
    <w:rsid w:val="521D69F0"/>
    <w:rsid w:val="522E717A"/>
    <w:rsid w:val="52304CA0"/>
    <w:rsid w:val="52354064"/>
    <w:rsid w:val="5246001F"/>
    <w:rsid w:val="526130AB"/>
    <w:rsid w:val="528F19C6"/>
    <w:rsid w:val="52AD62F0"/>
    <w:rsid w:val="52AF2069"/>
    <w:rsid w:val="52CF6267"/>
    <w:rsid w:val="52D675F5"/>
    <w:rsid w:val="52EF34D7"/>
    <w:rsid w:val="53015545"/>
    <w:rsid w:val="53165C44"/>
    <w:rsid w:val="53175AE2"/>
    <w:rsid w:val="53334A48"/>
    <w:rsid w:val="534A7FE3"/>
    <w:rsid w:val="534C78B7"/>
    <w:rsid w:val="53670B95"/>
    <w:rsid w:val="53682217"/>
    <w:rsid w:val="53746E0E"/>
    <w:rsid w:val="53A70F92"/>
    <w:rsid w:val="53C02053"/>
    <w:rsid w:val="53C61508"/>
    <w:rsid w:val="53C9715A"/>
    <w:rsid w:val="53CC6C4A"/>
    <w:rsid w:val="5419749F"/>
    <w:rsid w:val="544113E6"/>
    <w:rsid w:val="5449029B"/>
    <w:rsid w:val="545C3D8F"/>
    <w:rsid w:val="545F7ABE"/>
    <w:rsid w:val="549459BA"/>
    <w:rsid w:val="54AF6350"/>
    <w:rsid w:val="54BC0A6D"/>
    <w:rsid w:val="54C53DC5"/>
    <w:rsid w:val="54C65448"/>
    <w:rsid w:val="54E35FFA"/>
    <w:rsid w:val="54FE4BE1"/>
    <w:rsid w:val="55020B76"/>
    <w:rsid w:val="55052414"/>
    <w:rsid w:val="55164621"/>
    <w:rsid w:val="55173EF5"/>
    <w:rsid w:val="551E7032"/>
    <w:rsid w:val="5520724E"/>
    <w:rsid w:val="555714B5"/>
    <w:rsid w:val="555B64D8"/>
    <w:rsid w:val="555D5DAC"/>
    <w:rsid w:val="5572737D"/>
    <w:rsid w:val="557D2CB4"/>
    <w:rsid w:val="5587107B"/>
    <w:rsid w:val="55C24E3B"/>
    <w:rsid w:val="55C67DF5"/>
    <w:rsid w:val="56004989"/>
    <w:rsid w:val="563B3C13"/>
    <w:rsid w:val="564C5E20"/>
    <w:rsid w:val="567D422C"/>
    <w:rsid w:val="568455BA"/>
    <w:rsid w:val="56867584"/>
    <w:rsid w:val="56927CD7"/>
    <w:rsid w:val="5697709C"/>
    <w:rsid w:val="56981066"/>
    <w:rsid w:val="56A1616C"/>
    <w:rsid w:val="56A417B8"/>
    <w:rsid w:val="56B20379"/>
    <w:rsid w:val="56B37C4E"/>
    <w:rsid w:val="56B934B6"/>
    <w:rsid w:val="56CD6F61"/>
    <w:rsid w:val="56D007FF"/>
    <w:rsid w:val="56E524FD"/>
    <w:rsid w:val="56E60023"/>
    <w:rsid w:val="56EB73E7"/>
    <w:rsid w:val="56FE536D"/>
    <w:rsid w:val="56FF2E93"/>
    <w:rsid w:val="573945F7"/>
    <w:rsid w:val="57452F9B"/>
    <w:rsid w:val="57544D6F"/>
    <w:rsid w:val="575925A3"/>
    <w:rsid w:val="575B456D"/>
    <w:rsid w:val="576158FB"/>
    <w:rsid w:val="578A4E52"/>
    <w:rsid w:val="57947A7F"/>
    <w:rsid w:val="579B705F"/>
    <w:rsid w:val="57BDBF5A"/>
    <w:rsid w:val="57D305A7"/>
    <w:rsid w:val="57DD4F82"/>
    <w:rsid w:val="57E9601D"/>
    <w:rsid w:val="580B5F93"/>
    <w:rsid w:val="5829466B"/>
    <w:rsid w:val="58337298"/>
    <w:rsid w:val="583C23B5"/>
    <w:rsid w:val="58405511"/>
    <w:rsid w:val="58690F0C"/>
    <w:rsid w:val="5875165E"/>
    <w:rsid w:val="58A07A42"/>
    <w:rsid w:val="58B54151"/>
    <w:rsid w:val="58BD4DB3"/>
    <w:rsid w:val="58CB127E"/>
    <w:rsid w:val="58D00F8B"/>
    <w:rsid w:val="58EB7B73"/>
    <w:rsid w:val="590A624B"/>
    <w:rsid w:val="59407EBE"/>
    <w:rsid w:val="5952374E"/>
    <w:rsid w:val="5954396A"/>
    <w:rsid w:val="595E6596"/>
    <w:rsid w:val="5963595B"/>
    <w:rsid w:val="597D6D22"/>
    <w:rsid w:val="59927FEE"/>
    <w:rsid w:val="59B30690"/>
    <w:rsid w:val="59B461B6"/>
    <w:rsid w:val="59B61F2F"/>
    <w:rsid w:val="59BE7035"/>
    <w:rsid w:val="59C53F20"/>
    <w:rsid w:val="59CA783E"/>
    <w:rsid w:val="59CD7278"/>
    <w:rsid w:val="59F760A3"/>
    <w:rsid w:val="59F9006D"/>
    <w:rsid w:val="5A0233C6"/>
    <w:rsid w:val="5A1153B7"/>
    <w:rsid w:val="5A307F33"/>
    <w:rsid w:val="5A366BCB"/>
    <w:rsid w:val="5A386DE8"/>
    <w:rsid w:val="5A3B0686"/>
    <w:rsid w:val="5A522527"/>
    <w:rsid w:val="5A5359CF"/>
    <w:rsid w:val="5A5F6122"/>
    <w:rsid w:val="5A6574B1"/>
    <w:rsid w:val="5A8738CB"/>
    <w:rsid w:val="5A897643"/>
    <w:rsid w:val="5A8B5FD8"/>
    <w:rsid w:val="5A9E3E80"/>
    <w:rsid w:val="5AAB1367"/>
    <w:rsid w:val="5AC16A05"/>
    <w:rsid w:val="5AC16DDD"/>
    <w:rsid w:val="5AC97A40"/>
    <w:rsid w:val="5ACE5056"/>
    <w:rsid w:val="5AD05272"/>
    <w:rsid w:val="5AD84127"/>
    <w:rsid w:val="5AD85ED5"/>
    <w:rsid w:val="5AE12FDB"/>
    <w:rsid w:val="5AF745AD"/>
    <w:rsid w:val="5B0F5D9A"/>
    <w:rsid w:val="5B2E3D47"/>
    <w:rsid w:val="5B3A093D"/>
    <w:rsid w:val="5B3F5F54"/>
    <w:rsid w:val="5B4D68C3"/>
    <w:rsid w:val="5B694D7F"/>
    <w:rsid w:val="5B7E4CCE"/>
    <w:rsid w:val="5B834092"/>
    <w:rsid w:val="5B8426FC"/>
    <w:rsid w:val="5B85605C"/>
    <w:rsid w:val="5B922527"/>
    <w:rsid w:val="5BA34735"/>
    <w:rsid w:val="5BAF30D9"/>
    <w:rsid w:val="5BC14BBB"/>
    <w:rsid w:val="5BDB3ECE"/>
    <w:rsid w:val="5BEF1728"/>
    <w:rsid w:val="5BF136F2"/>
    <w:rsid w:val="5BFD2097"/>
    <w:rsid w:val="5C1E200D"/>
    <w:rsid w:val="5C225659"/>
    <w:rsid w:val="5C317F92"/>
    <w:rsid w:val="5C3435DF"/>
    <w:rsid w:val="5C3B2BBF"/>
    <w:rsid w:val="5C4C5FDC"/>
    <w:rsid w:val="5C621EFA"/>
    <w:rsid w:val="5C846314"/>
    <w:rsid w:val="5C966047"/>
    <w:rsid w:val="5C9A5B38"/>
    <w:rsid w:val="5CA442C0"/>
    <w:rsid w:val="5CB57F49"/>
    <w:rsid w:val="5CC130C4"/>
    <w:rsid w:val="5CF60894"/>
    <w:rsid w:val="5D0D09EA"/>
    <w:rsid w:val="5D0E3E30"/>
    <w:rsid w:val="5D2D075A"/>
    <w:rsid w:val="5D5C2DED"/>
    <w:rsid w:val="5D5F4C32"/>
    <w:rsid w:val="5D722610"/>
    <w:rsid w:val="5D752101"/>
    <w:rsid w:val="5D845EA0"/>
    <w:rsid w:val="5D861C18"/>
    <w:rsid w:val="5D9562FF"/>
    <w:rsid w:val="5DC10EA2"/>
    <w:rsid w:val="5DC56BE4"/>
    <w:rsid w:val="5DD4108F"/>
    <w:rsid w:val="5DDB1F64"/>
    <w:rsid w:val="5DE42D29"/>
    <w:rsid w:val="5DE54B90"/>
    <w:rsid w:val="5DE60909"/>
    <w:rsid w:val="5DF64FF0"/>
    <w:rsid w:val="5DF70D68"/>
    <w:rsid w:val="5E023994"/>
    <w:rsid w:val="5E055233"/>
    <w:rsid w:val="5E070FAB"/>
    <w:rsid w:val="5E190CDE"/>
    <w:rsid w:val="5E282CCF"/>
    <w:rsid w:val="5E3B2A02"/>
    <w:rsid w:val="5E464684"/>
    <w:rsid w:val="5E4915C3"/>
    <w:rsid w:val="5E4D2736"/>
    <w:rsid w:val="5E5166CA"/>
    <w:rsid w:val="5E533F24"/>
    <w:rsid w:val="5E563CE0"/>
    <w:rsid w:val="5E6D4B86"/>
    <w:rsid w:val="5E997DCB"/>
    <w:rsid w:val="5EAE58CA"/>
    <w:rsid w:val="5EC155FD"/>
    <w:rsid w:val="5ED03A93"/>
    <w:rsid w:val="5EDC2437"/>
    <w:rsid w:val="5EF77271"/>
    <w:rsid w:val="5F0B4ACB"/>
    <w:rsid w:val="5F0F60D6"/>
    <w:rsid w:val="5F103E8F"/>
    <w:rsid w:val="5F1F40D2"/>
    <w:rsid w:val="5F27742B"/>
    <w:rsid w:val="5F49114F"/>
    <w:rsid w:val="5F4C0B09"/>
    <w:rsid w:val="5F4F0E5B"/>
    <w:rsid w:val="5F6917F1"/>
    <w:rsid w:val="5F7206A6"/>
    <w:rsid w:val="5F772160"/>
    <w:rsid w:val="5F8B5C0B"/>
    <w:rsid w:val="5F8E1258"/>
    <w:rsid w:val="5FA10F8B"/>
    <w:rsid w:val="5FBA204D"/>
    <w:rsid w:val="5FBF1411"/>
    <w:rsid w:val="5FCB425A"/>
    <w:rsid w:val="5FDF112B"/>
    <w:rsid w:val="5FF85127"/>
    <w:rsid w:val="60053B04"/>
    <w:rsid w:val="601E1FA3"/>
    <w:rsid w:val="602A70A2"/>
    <w:rsid w:val="6037369D"/>
    <w:rsid w:val="6042451C"/>
    <w:rsid w:val="6045400C"/>
    <w:rsid w:val="604A517F"/>
    <w:rsid w:val="60591866"/>
    <w:rsid w:val="606326E4"/>
    <w:rsid w:val="607E66B4"/>
    <w:rsid w:val="608F0C5C"/>
    <w:rsid w:val="60A32AE1"/>
    <w:rsid w:val="60B847DE"/>
    <w:rsid w:val="60BF3DBF"/>
    <w:rsid w:val="610C4B2A"/>
    <w:rsid w:val="612C6F7A"/>
    <w:rsid w:val="613C540F"/>
    <w:rsid w:val="614B6E67"/>
    <w:rsid w:val="614C3178"/>
    <w:rsid w:val="61540A28"/>
    <w:rsid w:val="61665FE8"/>
    <w:rsid w:val="61693D2A"/>
    <w:rsid w:val="61695AD8"/>
    <w:rsid w:val="6170330B"/>
    <w:rsid w:val="618446C0"/>
    <w:rsid w:val="61994610"/>
    <w:rsid w:val="619D39D4"/>
    <w:rsid w:val="619D5782"/>
    <w:rsid w:val="61AD1E69"/>
    <w:rsid w:val="61DC44FC"/>
    <w:rsid w:val="61EF2482"/>
    <w:rsid w:val="61F061FA"/>
    <w:rsid w:val="62013F63"/>
    <w:rsid w:val="62165C60"/>
    <w:rsid w:val="622D4D58"/>
    <w:rsid w:val="622D6B06"/>
    <w:rsid w:val="62353C0D"/>
    <w:rsid w:val="623B7475"/>
    <w:rsid w:val="624E5AC5"/>
    <w:rsid w:val="62540537"/>
    <w:rsid w:val="625978FB"/>
    <w:rsid w:val="626369CC"/>
    <w:rsid w:val="626F653F"/>
    <w:rsid w:val="62856942"/>
    <w:rsid w:val="62894684"/>
    <w:rsid w:val="62922E0D"/>
    <w:rsid w:val="629D1EDE"/>
    <w:rsid w:val="62A56FE4"/>
    <w:rsid w:val="62DD677E"/>
    <w:rsid w:val="62E93375"/>
    <w:rsid w:val="62FF66F4"/>
    <w:rsid w:val="63021D41"/>
    <w:rsid w:val="63027F93"/>
    <w:rsid w:val="63116428"/>
    <w:rsid w:val="63240476"/>
    <w:rsid w:val="635A7DCF"/>
    <w:rsid w:val="63690012"/>
    <w:rsid w:val="637F1B3E"/>
    <w:rsid w:val="6381096A"/>
    <w:rsid w:val="63864720"/>
    <w:rsid w:val="63AD43A2"/>
    <w:rsid w:val="63D556A7"/>
    <w:rsid w:val="63D56B12"/>
    <w:rsid w:val="63E61662"/>
    <w:rsid w:val="63F57AF7"/>
    <w:rsid w:val="63F91396"/>
    <w:rsid w:val="64061D04"/>
    <w:rsid w:val="6410048D"/>
    <w:rsid w:val="64135829"/>
    <w:rsid w:val="64322AF9"/>
    <w:rsid w:val="64504D2E"/>
    <w:rsid w:val="64596107"/>
    <w:rsid w:val="647B7FFD"/>
    <w:rsid w:val="64AA661D"/>
    <w:rsid w:val="64B452BD"/>
    <w:rsid w:val="64CA0F84"/>
    <w:rsid w:val="64D43BB1"/>
    <w:rsid w:val="64EC4A56"/>
    <w:rsid w:val="64FB2EEB"/>
    <w:rsid w:val="651D7306"/>
    <w:rsid w:val="652E506F"/>
    <w:rsid w:val="653A7CF5"/>
    <w:rsid w:val="653D2458"/>
    <w:rsid w:val="653D3504"/>
    <w:rsid w:val="6549634D"/>
    <w:rsid w:val="654C7BEB"/>
    <w:rsid w:val="654E74BF"/>
    <w:rsid w:val="655F16CC"/>
    <w:rsid w:val="65640A91"/>
    <w:rsid w:val="65654809"/>
    <w:rsid w:val="65670581"/>
    <w:rsid w:val="658A426F"/>
    <w:rsid w:val="65901886"/>
    <w:rsid w:val="659769D6"/>
    <w:rsid w:val="659D21F5"/>
    <w:rsid w:val="65A2780B"/>
    <w:rsid w:val="65A96DEB"/>
    <w:rsid w:val="65B732B6"/>
    <w:rsid w:val="65DC164A"/>
    <w:rsid w:val="65DD6A95"/>
    <w:rsid w:val="66173D55"/>
    <w:rsid w:val="661E3335"/>
    <w:rsid w:val="664803B2"/>
    <w:rsid w:val="664B39FF"/>
    <w:rsid w:val="666A0329"/>
    <w:rsid w:val="668533B4"/>
    <w:rsid w:val="668A2779"/>
    <w:rsid w:val="66AC6B93"/>
    <w:rsid w:val="66B75538"/>
    <w:rsid w:val="66C35C8B"/>
    <w:rsid w:val="66C51A03"/>
    <w:rsid w:val="66C67529"/>
    <w:rsid w:val="66D516EE"/>
    <w:rsid w:val="671464E6"/>
    <w:rsid w:val="67193AFD"/>
    <w:rsid w:val="67226E55"/>
    <w:rsid w:val="672A3F5C"/>
    <w:rsid w:val="673426E5"/>
    <w:rsid w:val="674566A0"/>
    <w:rsid w:val="67530DBD"/>
    <w:rsid w:val="675608AD"/>
    <w:rsid w:val="677A27ED"/>
    <w:rsid w:val="67803B7C"/>
    <w:rsid w:val="67BD26DA"/>
    <w:rsid w:val="67CA4DF7"/>
    <w:rsid w:val="67CD5013"/>
    <w:rsid w:val="67D22629"/>
    <w:rsid w:val="67D63A2F"/>
    <w:rsid w:val="67E81E4D"/>
    <w:rsid w:val="67F02AB0"/>
    <w:rsid w:val="67FC1454"/>
    <w:rsid w:val="68061D81"/>
    <w:rsid w:val="681349F0"/>
    <w:rsid w:val="6817628E"/>
    <w:rsid w:val="681C1AF7"/>
    <w:rsid w:val="683055A2"/>
    <w:rsid w:val="683706DE"/>
    <w:rsid w:val="683A70AD"/>
    <w:rsid w:val="685079F2"/>
    <w:rsid w:val="6852376A"/>
    <w:rsid w:val="6861575B"/>
    <w:rsid w:val="686D2352"/>
    <w:rsid w:val="686D4100"/>
    <w:rsid w:val="68882CE8"/>
    <w:rsid w:val="688D02FE"/>
    <w:rsid w:val="688D47A2"/>
    <w:rsid w:val="68945B31"/>
    <w:rsid w:val="68B91843"/>
    <w:rsid w:val="68D51CA5"/>
    <w:rsid w:val="68E87C2B"/>
    <w:rsid w:val="68EC771B"/>
    <w:rsid w:val="68F95994"/>
    <w:rsid w:val="69196036"/>
    <w:rsid w:val="69366BE8"/>
    <w:rsid w:val="696077C1"/>
    <w:rsid w:val="699658D9"/>
    <w:rsid w:val="69992CD3"/>
    <w:rsid w:val="69BF098B"/>
    <w:rsid w:val="69D34437"/>
    <w:rsid w:val="69F04FE9"/>
    <w:rsid w:val="69F34AD9"/>
    <w:rsid w:val="6A136F29"/>
    <w:rsid w:val="6A18009C"/>
    <w:rsid w:val="6A1862EE"/>
    <w:rsid w:val="6A2133F4"/>
    <w:rsid w:val="6A521800"/>
    <w:rsid w:val="6A527A52"/>
    <w:rsid w:val="6A554E4C"/>
    <w:rsid w:val="6A58493C"/>
    <w:rsid w:val="6A7259FE"/>
    <w:rsid w:val="6A8120E5"/>
    <w:rsid w:val="6A8B2F63"/>
    <w:rsid w:val="6A955B90"/>
    <w:rsid w:val="6AA14535"/>
    <w:rsid w:val="6AA302AD"/>
    <w:rsid w:val="6AB44268"/>
    <w:rsid w:val="6ADE7537"/>
    <w:rsid w:val="6AE83F12"/>
    <w:rsid w:val="6AED1528"/>
    <w:rsid w:val="6B00125C"/>
    <w:rsid w:val="6B076EC0"/>
    <w:rsid w:val="6B0D1BCA"/>
    <w:rsid w:val="6B23319C"/>
    <w:rsid w:val="6B2A452A"/>
    <w:rsid w:val="6B3B04E6"/>
    <w:rsid w:val="6B4C26F3"/>
    <w:rsid w:val="6B9D4CFC"/>
    <w:rsid w:val="6BB42CA8"/>
    <w:rsid w:val="6BBB5183"/>
    <w:rsid w:val="6BC9782A"/>
    <w:rsid w:val="6BCB7ABB"/>
    <w:rsid w:val="6BE26BB3"/>
    <w:rsid w:val="6BF6440D"/>
    <w:rsid w:val="6C027255"/>
    <w:rsid w:val="6C066D46"/>
    <w:rsid w:val="6C111246"/>
    <w:rsid w:val="6C1256EA"/>
    <w:rsid w:val="6C14390A"/>
    <w:rsid w:val="6C1A459F"/>
    <w:rsid w:val="6C1D5E3D"/>
    <w:rsid w:val="6C1F5711"/>
    <w:rsid w:val="6C353187"/>
    <w:rsid w:val="6C5C0714"/>
    <w:rsid w:val="6C6D2921"/>
    <w:rsid w:val="6C7A3290"/>
    <w:rsid w:val="6C88775B"/>
    <w:rsid w:val="6C951E77"/>
    <w:rsid w:val="6C9854C4"/>
    <w:rsid w:val="6CA64085"/>
    <w:rsid w:val="6CB976B5"/>
    <w:rsid w:val="6CC87B57"/>
    <w:rsid w:val="6CD504C6"/>
    <w:rsid w:val="6CE95D1F"/>
    <w:rsid w:val="6CED3A62"/>
    <w:rsid w:val="6CF31D33"/>
    <w:rsid w:val="6CF50B68"/>
    <w:rsid w:val="6CF7043C"/>
    <w:rsid w:val="6D036DE1"/>
    <w:rsid w:val="6D050DAB"/>
    <w:rsid w:val="6D154D66"/>
    <w:rsid w:val="6D372F2F"/>
    <w:rsid w:val="6D4A0EB4"/>
    <w:rsid w:val="6D5238C5"/>
    <w:rsid w:val="6D6261FE"/>
    <w:rsid w:val="6D633D24"/>
    <w:rsid w:val="6D8617C0"/>
    <w:rsid w:val="6D8A7502"/>
    <w:rsid w:val="6DB24886"/>
    <w:rsid w:val="6DC347C2"/>
    <w:rsid w:val="6DCF13B9"/>
    <w:rsid w:val="6DCF4F15"/>
    <w:rsid w:val="6DD10C8D"/>
    <w:rsid w:val="6DDD0DB1"/>
    <w:rsid w:val="6DE07122"/>
    <w:rsid w:val="6DF17581"/>
    <w:rsid w:val="6E1119D2"/>
    <w:rsid w:val="6E1D3ED3"/>
    <w:rsid w:val="6E1F40EF"/>
    <w:rsid w:val="6E25722B"/>
    <w:rsid w:val="6E2B2A93"/>
    <w:rsid w:val="6E3B25AB"/>
    <w:rsid w:val="6E4C47B8"/>
    <w:rsid w:val="6E5A0C83"/>
    <w:rsid w:val="6E5D4C17"/>
    <w:rsid w:val="6E8201DA"/>
    <w:rsid w:val="6E82642B"/>
    <w:rsid w:val="6E881C94"/>
    <w:rsid w:val="6E9C573F"/>
    <w:rsid w:val="6EC16F54"/>
    <w:rsid w:val="6EC24A7A"/>
    <w:rsid w:val="6EDA5246"/>
    <w:rsid w:val="6EF74724"/>
    <w:rsid w:val="6F01303C"/>
    <w:rsid w:val="6F1774DC"/>
    <w:rsid w:val="6F305E87"/>
    <w:rsid w:val="6F481423"/>
    <w:rsid w:val="6F616041"/>
    <w:rsid w:val="6F775864"/>
    <w:rsid w:val="6F800BBD"/>
    <w:rsid w:val="6F8C01AD"/>
    <w:rsid w:val="6F9406BD"/>
    <w:rsid w:val="6F96218E"/>
    <w:rsid w:val="6FA06B69"/>
    <w:rsid w:val="6FAA5C3A"/>
    <w:rsid w:val="6FB4502D"/>
    <w:rsid w:val="6FCF56A0"/>
    <w:rsid w:val="702C48A1"/>
    <w:rsid w:val="703D3F4C"/>
    <w:rsid w:val="705636CC"/>
    <w:rsid w:val="706202C3"/>
    <w:rsid w:val="707B3132"/>
    <w:rsid w:val="707D334E"/>
    <w:rsid w:val="70891CF3"/>
    <w:rsid w:val="709C1A26"/>
    <w:rsid w:val="70DF36C1"/>
    <w:rsid w:val="70F96E79"/>
    <w:rsid w:val="711A0B9D"/>
    <w:rsid w:val="711F61B4"/>
    <w:rsid w:val="713A2FED"/>
    <w:rsid w:val="713A4821"/>
    <w:rsid w:val="71461992"/>
    <w:rsid w:val="71494FDF"/>
    <w:rsid w:val="71566079"/>
    <w:rsid w:val="715C11B6"/>
    <w:rsid w:val="715C2F64"/>
    <w:rsid w:val="715D5C0A"/>
    <w:rsid w:val="7164006A"/>
    <w:rsid w:val="717007BD"/>
    <w:rsid w:val="717B788E"/>
    <w:rsid w:val="717E112C"/>
    <w:rsid w:val="718B55F7"/>
    <w:rsid w:val="718F3339"/>
    <w:rsid w:val="719C7804"/>
    <w:rsid w:val="71A861A9"/>
    <w:rsid w:val="71E13469"/>
    <w:rsid w:val="71E60A7F"/>
    <w:rsid w:val="71E76CD1"/>
    <w:rsid w:val="71F17B50"/>
    <w:rsid w:val="72005FE5"/>
    <w:rsid w:val="720C6738"/>
    <w:rsid w:val="722241AD"/>
    <w:rsid w:val="722A3062"/>
    <w:rsid w:val="7231619E"/>
    <w:rsid w:val="723932A5"/>
    <w:rsid w:val="72556331"/>
    <w:rsid w:val="72620508"/>
    <w:rsid w:val="72676064"/>
    <w:rsid w:val="728564EA"/>
    <w:rsid w:val="72A9042B"/>
    <w:rsid w:val="72AB41A3"/>
    <w:rsid w:val="72B017B9"/>
    <w:rsid w:val="72C139C6"/>
    <w:rsid w:val="72D54D7C"/>
    <w:rsid w:val="72E00378"/>
    <w:rsid w:val="72FC49FE"/>
    <w:rsid w:val="73165394"/>
    <w:rsid w:val="73306456"/>
    <w:rsid w:val="733E5017"/>
    <w:rsid w:val="73426189"/>
    <w:rsid w:val="73506AF8"/>
    <w:rsid w:val="735F4F8D"/>
    <w:rsid w:val="73682094"/>
    <w:rsid w:val="73726A6F"/>
    <w:rsid w:val="737E5413"/>
    <w:rsid w:val="7381757F"/>
    <w:rsid w:val="7399049F"/>
    <w:rsid w:val="73B07597"/>
    <w:rsid w:val="73B9644B"/>
    <w:rsid w:val="73C848E1"/>
    <w:rsid w:val="73E07E7C"/>
    <w:rsid w:val="73F27BAF"/>
    <w:rsid w:val="740A6CA7"/>
    <w:rsid w:val="7428537F"/>
    <w:rsid w:val="742C1313"/>
    <w:rsid w:val="743326A2"/>
    <w:rsid w:val="74341F76"/>
    <w:rsid w:val="744530CF"/>
    <w:rsid w:val="74463A57"/>
    <w:rsid w:val="74650381"/>
    <w:rsid w:val="74806F69"/>
    <w:rsid w:val="7499627D"/>
    <w:rsid w:val="74CA6436"/>
    <w:rsid w:val="74D3178F"/>
    <w:rsid w:val="74DA48CB"/>
    <w:rsid w:val="751F2C26"/>
    <w:rsid w:val="75271ADB"/>
    <w:rsid w:val="75436915"/>
    <w:rsid w:val="7544268D"/>
    <w:rsid w:val="7553467E"/>
    <w:rsid w:val="757C1E26"/>
    <w:rsid w:val="75976C60"/>
    <w:rsid w:val="759A405B"/>
    <w:rsid w:val="75AE7B06"/>
    <w:rsid w:val="75BC0475"/>
    <w:rsid w:val="75CD4430"/>
    <w:rsid w:val="75DF5F11"/>
    <w:rsid w:val="75EA3234"/>
    <w:rsid w:val="760B6D06"/>
    <w:rsid w:val="760D2A7F"/>
    <w:rsid w:val="761262E7"/>
    <w:rsid w:val="76143E0D"/>
    <w:rsid w:val="76171B4F"/>
    <w:rsid w:val="76257DC8"/>
    <w:rsid w:val="762C5CE9"/>
    <w:rsid w:val="764C7A4B"/>
    <w:rsid w:val="76562678"/>
    <w:rsid w:val="76564426"/>
    <w:rsid w:val="76726D86"/>
    <w:rsid w:val="7691545E"/>
    <w:rsid w:val="769B008A"/>
    <w:rsid w:val="76BD26F7"/>
    <w:rsid w:val="76BF021D"/>
    <w:rsid w:val="76D8308D"/>
    <w:rsid w:val="76FD6F97"/>
    <w:rsid w:val="770420D4"/>
    <w:rsid w:val="77204A34"/>
    <w:rsid w:val="772A2574"/>
    <w:rsid w:val="772E7150"/>
    <w:rsid w:val="7739181C"/>
    <w:rsid w:val="774424D0"/>
    <w:rsid w:val="7764589E"/>
    <w:rsid w:val="777059BB"/>
    <w:rsid w:val="779276DF"/>
    <w:rsid w:val="779932F5"/>
    <w:rsid w:val="779A7952"/>
    <w:rsid w:val="77B358A8"/>
    <w:rsid w:val="77B77146"/>
    <w:rsid w:val="77C47AB5"/>
    <w:rsid w:val="77C81353"/>
    <w:rsid w:val="77EC701D"/>
    <w:rsid w:val="77FA7033"/>
    <w:rsid w:val="78085BF3"/>
    <w:rsid w:val="782642CC"/>
    <w:rsid w:val="782D565A"/>
    <w:rsid w:val="783469E8"/>
    <w:rsid w:val="78395DAD"/>
    <w:rsid w:val="78482494"/>
    <w:rsid w:val="784D3606"/>
    <w:rsid w:val="7863107C"/>
    <w:rsid w:val="786F7A21"/>
    <w:rsid w:val="78760DAF"/>
    <w:rsid w:val="78886D34"/>
    <w:rsid w:val="789631FF"/>
    <w:rsid w:val="78992CEF"/>
    <w:rsid w:val="78CD4747"/>
    <w:rsid w:val="78D12489"/>
    <w:rsid w:val="78D4194A"/>
    <w:rsid w:val="78E201F2"/>
    <w:rsid w:val="78EC2E1F"/>
    <w:rsid w:val="78EE6B97"/>
    <w:rsid w:val="78F01929"/>
    <w:rsid w:val="78F46178"/>
    <w:rsid w:val="790265C4"/>
    <w:rsid w:val="790E2D96"/>
    <w:rsid w:val="790E7239"/>
    <w:rsid w:val="79142376"/>
    <w:rsid w:val="791800B8"/>
    <w:rsid w:val="79206F6D"/>
    <w:rsid w:val="792F0F5E"/>
    <w:rsid w:val="79384054"/>
    <w:rsid w:val="793A7EBB"/>
    <w:rsid w:val="793B7903"/>
    <w:rsid w:val="79501600"/>
    <w:rsid w:val="795A5FDB"/>
    <w:rsid w:val="796B468C"/>
    <w:rsid w:val="79AC25AE"/>
    <w:rsid w:val="79D97847"/>
    <w:rsid w:val="79DC2E94"/>
    <w:rsid w:val="7A0423EA"/>
    <w:rsid w:val="7A0F3269"/>
    <w:rsid w:val="7A101635"/>
    <w:rsid w:val="7A1545F8"/>
    <w:rsid w:val="7A304F8E"/>
    <w:rsid w:val="7A8C48BA"/>
    <w:rsid w:val="7A903C7E"/>
    <w:rsid w:val="7ABD2CC5"/>
    <w:rsid w:val="7ABE2599"/>
    <w:rsid w:val="7ACB4CB6"/>
    <w:rsid w:val="7ADB75EF"/>
    <w:rsid w:val="7B000E04"/>
    <w:rsid w:val="7B136D89"/>
    <w:rsid w:val="7B2C1BF9"/>
    <w:rsid w:val="7B2D4678"/>
    <w:rsid w:val="7B426B4F"/>
    <w:rsid w:val="7B4C229B"/>
    <w:rsid w:val="7B641393"/>
    <w:rsid w:val="7B762E74"/>
    <w:rsid w:val="7B841A35"/>
    <w:rsid w:val="7B8437E3"/>
    <w:rsid w:val="7B934F67"/>
    <w:rsid w:val="7BB816DF"/>
    <w:rsid w:val="7C016BE2"/>
    <w:rsid w:val="7C725D31"/>
    <w:rsid w:val="7CA0464C"/>
    <w:rsid w:val="7CA3413D"/>
    <w:rsid w:val="7CAA7279"/>
    <w:rsid w:val="7CB225D2"/>
    <w:rsid w:val="7CB41EA6"/>
    <w:rsid w:val="7CCF4F32"/>
    <w:rsid w:val="7CE704CD"/>
    <w:rsid w:val="7D0D7808"/>
    <w:rsid w:val="7D252DA4"/>
    <w:rsid w:val="7D3D1E9B"/>
    <w:rsid w:val="7D553689"/>
    <w:rsid w:val="7D676F18"/>
    <w:rsid w:val="7D6C09D3"/>
    <w:rsid w:val="7D7635FF"/>
    <w:rsid w:val="7D9F4904"/>
    <w:rsid w:val="7DAC7021"/>
    <w:rsid w:val="7DD6409E"/>
    <w:rsid w:val="7DD86068"/>
    <w:rsid w:val="7DD90CFF"/>
    <w:rsid w:val="7DE06CCB"/>
    <w:rsid w:val="7E0E1A8A"/>
    <w:rsid w:val="7E1C5F55"/>
    <w:rsid w:val="7E370FE0"/>
    <w:rsid w:val="7E3A63DB"/>
    <w:rsid w:val="7E527BC8"/>
    <w:rsid w:val="7E6E2528"/>
    <w:rsid w:val="7E7A711F"/>
    <w:rsid w:val="7E7B7173"/>
    <w:rsid w:val="7E865AC4"/>
    <w:rsid w:val="7E971A7F"/>
    <w:rsid w:val="7EA321D2"/>
    <w:rsid w:val="7EA5419C"/>
    <w:rsid w:val="7EAD3051"/>
    <w:rsid w:val="7EC62364"/>
    <w:rsid w:val="7EE822DB"/>
    <w:rsid w:val="7EE84089"/>
    <w:rsid w:val="7EFE1AFE"/>
    <w:rsid w:val="7F08472B"/>
    <w:rsid w:val="7F1135E0"/>
    <w:rsid w:val="7F427C3D"/>
    <w:rsid w:val="7F460DAF"/>
    <w:rsid w:val="7F5160D2"/>
    <w:rsid w:val="7F5636E8"/>
    <w:rsid w:val="7F6556D9"/>
    <w:rsid w:val="7F6C6A68"/>
    <w:rsid w:val="7F713F9C"/>
    <w:rsid w:val="7F9541EF"/>
    <w:rsid w:val="7FF30F37"/>
    <w:rsid w:val="F7FEEB1B"/>
    <w:rsid w:val="FC9C8E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ja-JP" w:eastAsia="ja-JP" w:bidi="ja-JP"/>
    </w:rPr>
  </w:style>
  <w:style w:type="paragraph" w:styleId="2">
    <w:name w:val="heading 1"/>
    <w:basedOn w:val="1"/>
    <w:next w:val="1"/>
    <w:qFormat/>
    <w:uiPriority w:val="1"/>
    <w:pPr>
      <w:spacing w:before="220"/>
      <w:ind w:left="1591"/>
      <w:outlineLvl w:val="0"/>
    </w:pPr>
    <w:rPr>
      <w:b/>
      <w:bCs/>
      <w:sz w:val="80"/>
      <w:szCs w:val="80"/>
    </w:rPr>
  </w:style>
  <w:style w:type="paragraph" w:styleId="3">
    <w:name w:val="heading 2"/>
    <w:basedOn w:val="1"/>
    <w:next w:val="1"/>
    <w:qFormat/>
    <w:uiPriority w:val="1"/>
    <w:pPr>
      <w:spacing w:before="9"/>
      <w:ind w:left="521" w:right="255"/>
      <w:jc w:val="center"/>
      <w:outlineLvl w:val="1"/>
    </w:pPr>
    <w:rPr>
      <w:b/>
      <w:bCs/>
      <w:sz w:val="48"/>
      <w:szCs w:val="48"/>
    </w:rPr>
  </w:style>
  <w:style w:type="paragraph" w:styleId="4">
    <w:name w:val="heading 3"/>
    <w:basedOn w:val="1"/>
    <w:next w:val="1"/>
    <w:qFormat/>
    <w:uiPriority w:val="1"/>
    <w:pPr>
      <w:ind w:left="127"/>
      <w:outlineLvl w:val="2"/>
    </w:pPr>
    <w:rPr>
      <w:b/>
      <w:bCs/>
      <w:sz w:val="36"/>
      <w:szCs w:val="36"/>
    </w:rPr>
  </w:style>
  <w:style w:type="paragraph" w:styleId="5">
    <w:name w:val="heading 4"/>
    <w:basedOn w:val="1"/>
    <w:next w:val="1"/>
    <w:qFormat/>
    <w:uiPriority w:val="1"/>
    <w:pPr>
      <w:spacing w:before="163"/>
      <w:ind w:left="179"/>
      <w:jc w:val="center"/>
      <w:outlineLvl w:val="3"/>
    </w:pPr>
    <w:rPr>
      <w:sz w:val="36"/>
      <w:szCs w:val="36"/>
    </w:rPr>
  </w:style>
  <w:style w:type="paragraph" w:styleId="6">
    <w:name w:val="heading 5"/>
    <w:basedOn w:val="1"/>
    <w:next w:val="1"/>
    <w:qFormat/>
    <w:uiPriority w:val="1"/>
    <w:pPr>
      <w:spacing w:before="214"/>
      <w:ind w:left="159"/>
      <w:outlineLvl w:val="4"/>
    </w:pPr>
    <w:rPr>
      <w:b/>
      <w:bCs/>
      <w:sz w:val="32"/>
      <w:szCs w:val="32"/>
    </w:rPr>
  </w:style>
  <w:style w:type="paragraph" w:styleId="7">
    <w:name w:val="heading 6"/>
    <w:basedOn w:val="1"/>
    <w:next w:val="1"/>
    <w:qFormat/>
    <w:uiPriority w:val="1"/>
    <w:pPr>
      <w:spacing w:before="42"/>
      <w:ind w:left="477"/>
      <w:outlineLvl w:val="5"/>
    </w:pPr>
    <w:rPr>
      <w:b/>
      <w:bCs/>
      <w:sz w:val="28"/>
      <w:szCs w:val="28"/>
    </w:rPr>
  </w:style>
  <w:style w:type="paragraph" w:styleId="8">
    <w:name w:val="heading 7"/>
    <w:basedOn w:val="1"/>
    <w:next w:val="1"/>
    <w:qFormat/>
    <w:uiPriority w:val="1"/>
    <w:pPr>
      <w:ind w:left="1039"/>
      <w:outlineLvl w:val="6"/>
    </w:pPr>
    <w:rPr>
      <w:b/>
      <w:bCs/>
      <w:sz w:val="24"/>
      <w:szCs w:val="24"/>
    </w:rPr>
  </w:style>
  <w:style w:type="paragraph" w:styleId="9">
    <w:name w:val="heading 9"/>
    <w:basedOn w:val="1"/>
    <w:next w:val="1"/>
    <w:qFormat/>
    <w:uiPriority w:val="0"/>
    <w:pPr>
      <w:keepNext/>
      <w:keepLines/>
      <w:widowControl/>
      <w:tabs>
        <w:tab w:val="left" w:pos="1584"/>
      </w:tabs>
      <w:spacing w:before="240" w:after="64" w:line="319" w:lineRule="auto"/>
      <w:ind w:left="1584" w:hanging="1584"/>
      <w:outlineLvl w:val="8"/>
    </w:pPr>
    <w:rPr>
      <w:rFonts w:ascii="Arial" w:hAnsi="Arial" w:eastAsia="黑体" w:cs="Times New Roman"/>
      <w:szCs w:val="21"/>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qFormat/>
    <w:uiPriority w:val="0"/>
  </w:style>
  <w:style w:type="paragraph" w:styleId="11">
    <w:name w:val="Body Text"/>
    <w:basedOn w:val="1"/>
    <w:qFormat/>
    <w:uiPriority w:val="1"/>
    <w:rPr>
      <w:sz w:val="24"/>
      <w:szCs w:val="24"/>
    </w:rPr>
  </w:style>
  <w:style w:type="paragraph" w:styleId="12">
    <w:name w:val="Body Text Indent"/>
    <w:basedOn w:val="1"/>
    <w:qFormat/>
    <w:uiPriority w:val="0"/>
    <w:pPr>
      <w:ind w:firstLine="600" w:firstLineChars="200"/>
    </w:pPr>
    <w:rPr>
      <w:sz w:val="30"/>
      <w:szCs w:val="20"/>
    </w:rPr>
  </w:style>
  <w:style w:type="paragraph" w:styleId="13">
    <w:name w:val="toc 5"/>
    <w:basedOn w:val="1"/>
    <w:next w:val="1"/>
    <w:qFormat/>
    <w:uiPriority w:val="0"/>
    <w:pPr>
      <w:tabs>
        <w:tab w:val="right" w:leader="dot" w:pos="8296"/>
        <w:tab w:val="right" w:leader="middleDot" w:pos="8400"/>
      </w:tabs>
      <w:ind w:left="1618" w:leftChars="578" w:firstLine="240" w:firstLineChars="100"/>
    </w:pPr>
    <w:rPr>
      <w:sz w:val="21"/>
    </w:rPr>
  </w:style>
  <w:style w:type="paragraph" w:styleId="14">
    <w:name w:val="toc 3"/>
    <w:basedOn w:val="1"/>
    <w:next w:val="1"/>
    <w:qFormat/>
    <w:uiPriority w:val="0"/>
    <w:pPr>
      <w:widowControl/>
      <w:ind w:left="400" w:right="255"/>
    </w:pPr>
    <w:rPr>
      <w:sz w:val="24"/>
      <w:szCs w:val="20"/>
    </w:rPr>
  </w:style>
  <w:style w:type="paragraph" w:styleId="15">
    <w:name w:val="Plain Text"/>
    <w:basedOn w:val="1"/>
    <w:qFormat/>
    <w:uiPriority w:val="0"/>
    <w:rPr>
      <w:rFonts w:hAnsi="Courier New"/>
      <w:sz w:val="21"/>
      <w:szCs w:val="20"/>
    </w:rPr>
  </w:style>
  <w:style w:type="paragraph" w:styleId="16">
    <w:name w:val="Body Text Indent 2"/>
    <w:basedOn w:val="1"/>
    <w:qFormat/>
    <w:uiPriority w:val="0"/>
    <w:pPr>
      <w:widowControl/>
      <w:overflowPunct w:val="0"/>
      <w:adjustRightInd w:val="0"/>
      <w:spacing w:line="360" w:lineRule="auto"/>
      <w:ind w:firstLine="555"/>
      <w:textAlignment w:val="baseline"/>
    </w:pPr>
    <w:rPr>
      <w:rFonts w:hAnsi="MS Sans Serif"/>
      <w:spacing w:val="12"/>
      <w:sz w:val="24"/>
      <w:szCs w:val="20"/>
    </w:rPr>
  </w:style>
  <w:style w:type="paragraph" w:styleId="17">
    <w:name w:val="endnote text"/>
    <w:basedOn w:val="1"/>
    <w:qFormat/>
    <w:uiPriority w:val="0"/>
    <w:pPr>
      <w:snapToGrid w:val="0"/>
    </w:pPr>
  </w:style>
  <w:style w:type="paragraph" w:styleId="18">
    <w:name w:val="Balloon Text"/>
    <w:basedOn w:val="1"/>
    <w:link w:val="41"/>
    <w:qFormat/>
    <w:uiPriority w:val="0"/>
    <w:rPr>
      <w:sz w:val="18"/>
      <w:szCs w:val="18"/>
    </w:rPr>
  </w:style>
  <w:style w:type="paragraph" w:styleId="19">
    <w:name w:val="footer"/>
    <w:basedOn w:val="1"/>
    <w:link w:val="43"/>
    <w:qFormat/>
    <w:uiPriority w:val="0"/>
    <w:pPr>
      <w:tabs>
        <w:tab w:val="center" w:pos="4153"/>
        <w:tab w:val="right" w:pos="8306"/>
      </w:tabs>
      <w:snapToGrid w:val="0"/>
    </w:pPr>
    <w:rPr>
      <w:sz w:val="18"/>
      <w:szCs w:val="18"/>
    </w:rPr>
  </w:style>
  <w:style w:type="paragraph" w:styleId="20">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toc 4"/>
    <w:basedOn w:val="1"/>
    <w:next w:val="1"/>
    <w:qFormat/>
    <w:uiPriority w:val="0"/>
    <w:pPr>
      <w:widowControl/>
      <w:tabs>
        <w:tab w:val="right" w:leader="middleDot" w:pos="8400"/>
      </w:tabs>
      <w:ind w:left="630" w:firstLine="1349" w:firstLineChars="562"/>
    </w:pPr>
    <w:rPr>
      <w:sz w:val="24"/>
      <w:szCs w:val="21"/>
    </w:rPr>
  </w:style>
  <w:style w:type="paragraph" w:styleId="23">
    <w:name w:val="Subtitle"/>
    <w:basedOn w:val="1"/>
    <w:next w:val="1"/>
    <w:link w:val="44"/>
    <w:qFormat/>
    <w:uiPriority w:val="11"/>
    <w:pPr>
      <w:autoSpaceDE/>
      <w:autoSpaceDN/>
      <w:spacing w:before="240" w:after="60" w:line="312" w:lineRule="auto"/>
      <w:jc w:val="center"/>
      <w:outlineLvl w:val="1"/>
    </w:pPr>
    <w:rPr>
      <w:rFonts w:asciiTheme="majorHAnsi" w:hAnsiTheme="majorHAnsi" w:cstheme="majorBidi"/>
      <w:b/>
      <w:bCs/>
      <w:kern w:val="28"/>
      <w:sz w:val="32"/>
      <w:szCs w:val="32"/>
      <w:lang w:val="en-US" w:eastAsia="zh-CN" w:bidi="ar-SA"/>
    </w:rPr>
  </w:style>
  <w:style w:type="paragraph" w:styleId="24">
    <w:name w:val="Body Text First Indent 2"/>
    <w:basedOn w:val="12"/>
    <w:qFormat/>
    <w:uiPriority w:val="0"/>
    <w:pPr>
      <w:widowControl/>
      <w:overflowPunct w:val="0"/>
      <w:adjustRightInd w:val="0"/>
      <w:spacing w:line="360" w:lineRule="auto"/>
      <w:ind w:firstLine="420"/>
      <w:textAlignment w:val="baseline"/>
    </w:pPr>
    <w:rPr>
      <w:rFonts w:ascii="Tahoma" w:eastAsia="@smartSimSun"/>
      <w:spacing w:val="12"/>
      <w:sz w:val="24"/>
    </w:rPr>
  </w:style>
  <w:style w:type="character" w:styleId="27">
    <w:name w:val="Strong"/>
    <w:basedOn w:val="26"/>
    <w:qFormat/>
    <w:uiPriority w:val="0"/>
    <w:rPr>
      <w:b/>
    </w:rPr>
  </w:style>
  <w:style w:type="character" w:styleId="28">
    <w:name w:val="page number"/>
    <w:basedOn w:val="26"/>
    <w:qFormat/>
    <w:uiPriority w:val="0"/>
  </w:style>
  <w:style w:type="character" w:styleId="29">
    <w:name w:val="FollowedHyperlink"/>
    <w:basedOn w:val="26"/>
    <w:qFormat/>
    <w:uiPriority w:val="0"/>
    <w:rPr>
      <w:color w:val="800080" w:themeColor="followedHyperlink"/>
      <w:u w:val="single"/>
      <w14:textFill>
        <w14:solidFill>
          <w14:schemeClr w14:val="folHlink"/>
        </w14:solidFill>
      </w14:textFill>
    </w:rPr>
  </w:style>
  <w:style w:type="character" w:styleId="30">
    <w:name w:val="Hyperlink"/>
    <w:unhideWhenUsed/>
    <w:qFormat/>
    <w:uiPriority w:val="0"/>
    <w:rPr>
      <w:color w:val="428BCA"/>
      <w:u w:val="single"/>
      <w:shd w:val="clear" w:color="auto" w:fill="auto"/>
    </w:rPr>
  </w:style>
  <w:style w:type="character" w:styleId="31">
    <w:name w:val="annotation reference"/>
    <w:qFormat/>
    <w:uiPriority w:val="0"/>
    <w:rPr>
      <w:sz w:val="21"/>
      <w:szCs w:val="21"/>
    </w:rPr>
  </w:style>
  <w:style w:type="paragraph" w:customStyle="1" w:styleId="32">
    <w:name w:val="Normal Indent1"/>
    <w:basedOn w:val="1"/>
    <w:qFormat/>
    <w:uiPriority w:val="0"/>
    <w:pPr>
      <w:ind w:firstLine="420" w:firstLineChars="200"/>
    </w:pPr>
  </w:style>
  <w:style w:type="table" w:customStyle="1" w:styleId="33">
    <w:name w:val="Table Normal"/>
    <w:unhideWhenUsed/>
    <w:qFormat/>
    <w:uiPriority w:val="2"/>
    <w:tblPr>
      <w:tblCellMar>
        <w:top w:w="0" w:type="dxa"/>
        <w:left w:w="0" w:type="dxa"/>
        <w:bottom w:w="0" w:type="dxa"/>
        <w:right w:w="0" w:type="dxa"/>
      </w:tblCellMar>
    </w:tblPr>
  </w:style>
  <w:style w:type="paragraph" w:customStyle="1" w:styleId="34">
    <w:name w:val="列出段落1"/>
    <w:basedOn w:val="1"/>
    <w:qFormat/>
    <w:uiPriority w:val="1"/>
    <w:pPr>
      <w:ind w:left="1046" w:hanging="566"/>
    </w:pPr>
  </w:style>
  <w:style w:type="paragraph" w:customStyle="1" w:styleId="35">
    <w:name w:val="Table Paragraph"/>
    <w:basedOn w:val="1"/>
    <w:qFormat/>
    <w:uiPriority w:val="1"/>
  </w:style>
  <w:style w:type="paragraph" w:customStyle="1" w:styleId="36">
    <w:name w:val="WPSOffice手动目录 1"/>
    <w:qFormat/>
    <w:uiPriority w:val="0"/>
    <w:rPr>
      <w:rFonts w:asciiTheme="minorHAnsi" w:hAnsiTheme="minorHAnsi" w:eastAsiaTheme="minorHAnsi" w:cstheme="minorBidi"/>
      <w:lang w:val="en-US" w:eastAsia="zh-CN" w:bidi="ar-SA"/>
    </w:rPr>
  </w:style>
  <w:style w:type="paragraph" w:customStyle="1" w:styleId="37">
    <w:name w:val="_Style 6"/>
    <w:basedOn w:val="2"/>
    <w:next w:val="1"/>
    <w:qFormat/>
    <w:uiPriority w:val="0"/>
    <w:pPr>
      <w:keepLines/>
      <w:spacing w:before="340" w:after="330" w:line="578" w:lineRule="auto"/>
      <w:ind w:left="0"/>
      <w:jc w:val="both"/>
      <w:outlineLvl w:val="9"/>
    </w:pPr>
    <w:rPr>
      <w:rFonts w:ascii="Times New Roman"/>
      <w:kern w:val="44"/>
      <w:sz w:val="44"/>
      <w:szCs w:val="44"/>
    </w:rPr>
  </w:style>
  <w:style w:type="character" w:customStyle="1" w:styleId="38">
    <w:name w:val="HTML Markup"/>
    <w:qFormat/>
    <w:uiPriority w:val="0"/>
    <w:rPr>
      <w:vanish/>
      <w:color w:val="FF0000"/>
    </w:rPr>
  </w:style>
  <w:style w:type="paragraph" w:customStyle="1" w:styleId="39">
    <w:name w:val="标题 81"/>
    <w:basedOn w:val="1"/>
    <w:qFormat/>
    <w:uiPriority w:val="1"/>
    <w:pPr>
      <w:ind w:left="100"/>
      <w:outlineLvl w:val="8"/>
    </w:pPr>
    <w:rPr>
      <w:b/>
      <w:bCs/>
      <w:sz w:val="24"/>
    </w:rPr>
  </w:style>
  <w:style w:type="character" w:customStyle="1" w:styleId="40">
    <w:name w:val="21"/>
    <w:qFormat/>
    <w:uiPriority w:val="0"/>
    <w:rPr>
      <w:rFonts w:ascii="MingLiUfalt" w:hAnsi="MingLiUfalt" w:eastAsia="MingLiUfalt" w:cs="Times New Roman"/>
      <w:sz w:val="20"/>
      <w:szCs w:val="20"/>
    </w:rPr>
  </w:style>
  <w:style w:type="character" w:customStyle="1" w:styleId="41">
    <w:name w:val="批注框文本 Char"/>
    <w:basedOn w:val="26"/>
    <w:link w:val="18"/>
    <w:qFormat/>
    <w:uiPriority w:val="0"/>
    <w:rPr>
      <w:rFonts w:ascii="宋体" w:hAnsi="宋体" w:cs="宋体"/>
      <w:sz w:val="18"/>
      <w:szCs w:val="18"/>
      <w:lang w:val="ja-JP" w:eastAsia="ja-JP" w:bidi="ja-JP"/>
    </w:rPr>
  </w:style>
  <w:style w:type="character" w:customStyle="1" w:styleId="42">
    <w:name w:val="页眉 Char"/>
    <w:basedOn w:val="26"/>
    <w:link w:val="20"/>
    <w:qFormat/>
    <w:uiPriority w:val="0"/>
    <w:rPr>
      <w:rFonts w:ascii="宋体" w:hAnsi="宋体" w:cs="宋体"/>
      <w:sz w:val="18"/>
      <w:szCs w:val="18"/>
      <w:lang w:val="ja-JP" w:eastAsia="ja-JP" w:bidi="ja-JP"/>
    </w:rPr>
  </w:style>
  <w:style w:type="character" w:customStyle="1" w:styleId="43">
    <w:name w:val="页脚 Char"/>
    <w:basedOn w:val="26"/>
    <w:link w:val="19"/>
    <w:qFormat/>
    <w:uiPriority w:val="0"/>
    <w:rPr>
      <w:rFonts w:ascii="宋体" w:hAnsi="宋体" w:cs="宋体"/>
      <w:sz w:val="18"/>
      <w:szCs w:val="18"/>
      <w:lang w:val="ja-JP" w:eastAsia="ja-JP" w:bidi="ja-JP"/>
    </w:rPr>
  </w:style>
  <w:style w:type="character" w:customStyle="1" w:styleId="44">
    <w:name w:val="副标题 Char"/>
    <w:basedOn w:val="26"/>
    <w:link w:val="23"/>
    <w:qFormat/>
    <w:uiPriority w:val="11"/>
    <w:rPr>
      <w:rFonts w:asciiTheme="majorHAnsi" w:hAnsiTheme="majorHAnsi" w:cstheme="majorBidi"/>
      <w:b/>
      <w:bCs/>
      <w:kern w:val="28"/>
      <w:sz w:val="32"/>
      <w:szCs w:val="32"/>
    </w:rPr>
  </w:style>
  <w:style w:type="paragraph" w:customStyle="1" w:styleId="45">
    <w:name w:val="列出段落11"/>
    <w:basedOn w:val="1"/>
    <w:link w:val="46"/>
    <w:qFormat/>
    <w:uiPriority w:val="34"/>
    <w:pPr>
      <w:autoSpaceDE/>
      <w:autoSpaceDN/>
      <w:ind w:firstLine="420" w:firstLineChars="200"/>
      <w:jc w:val="both"/>
    </w:pPr>
    <w:rPr>
      <w:rFonts w:ascii="Times New Roman" w:hAnsi="Times New Roman" w:cs="Times New Roman"/>
      <w:kern w:val="2"/>
      <w:sz w:val="21"/>
      <w:szCs w:val="20"/>
      <w:lang w:val="en-US" w:eastAsia="zh-CN" w:bidi="ar-SA"/>
    </w:rPr>
  </w:style>
  <w:style w:type="character" w:customStyle="1" w:styleId="46">
    <w:name w:val="列出段落 Char"/>
    <w:link w:val="45"/>
    <w:qFormat/>
    <w:uiPriority w:val="34"/>
    <w:rPr>
      <w:kern w:val="2"/>
      <w:sz w:val="21"/>
    </w:rPr>
  </w:style>
  <w:style w:type="character" w:customStyle="1" w:styleId="47">
    <w:name w:val="font21"/>
    <w:basedOn w:val="26"/>
    <w:qFormat/>
    <w:uiPriority w:val="0"/>
    <w:rPr>
      <w:rFonts w:hint="eastAsia" w:ascii="宋体" w:hAnsi="宋体" w:eastAsia="宋体" w:cs="宋体"/>
      <w:color w:val="000000"/>
      <w:sz w:val="22"/>
      <w:szCs w:val="22"/>
      <w:u w:val="none"/>
    </w:rPr>
  </w:style>
  <w:style w:type="paragraph" w:customStyle="1" w:styleId="48">
    <w:name w:val="_Style 3"/>
    <w:basedOn w:val="1"/>
    <w:qFormat/>
    <w:uiPriority w:val="99"/>
    <w:pPr>
      <w:spacing w:before="32"/>
      <w:ind w:left="1044" w:hanging="943"/>
    </w:pPr>
  </w:style>
  <w:style w:type="paragraph" w:customStyle="1" w:styleId="4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0">
    <w:name w:val="样式3 标题2"/>
    <w:basedOn w:val="1"/>
    <w:qFormat/>
    <w:uiPriority w:val="0"/>
    <w:pPr>
      <w:spacing w:before="120" w:after="120"/>
    </w:pPr>
    <w:rPr>
      <w:b/>
      <w:color w:val="000000"/>
      <w:szCs w:val="21"/>
    </w:rPr>
  </w:style>
  <w:style w:type="character" w:customStyle="1" w:styleId="51">
    <w:name w:val="font41"/>
    <w:basedOn w:val="26"/>
    <w:qFormat/>
    <w:uiPriority w:val="0"/>
    <w:rPr>
      <w:rFonts w:hint="default" w:ascii="smartSimSun" w:hAnsi="smartSimSun" w:eastAsia="smartSimSun" w:cs="smartSimSun"/>
      <w:color w:val="000000"/>
      <w:sz w:val="18"/>
      <w:szCs w:val="18"/>
      <w:u w:val="none"/>
    </w:rPr>
  </w:style>
  <w:style w:type="character" w:customStyle="1" w:styleId="52">
    <w:name w:val="font01"/>
    <w:basedOn w:val="26"/>
    <w:qFormat/>
    <w:uiPriority w:val="0"/>
    <w:rPr>
      <w:rFonts w:hint="default" w:ascii="smartSimSun" w:hAnsi="smartSimSun" w:eastAsia="smartSimSun" w:cs="smartSimSun"/>
      <w:color w:val="000000"/>
      <w:sz w:val="4"/>
      <w:szCs w:val="4"/>
      <w:u w:val="none"/>
    </w:rPr>
  </w:style>
  <w:style w:type="character" w:customStyle="1" w:styleId="53">
    <w:name w:val="font11"/>
    <w:basedOn w:val="26"/>
    <w:qFormat/>
    <w:uiPriority w:val="0"/>
    <w:rPr>
      <w:rFonts w:hint="default" w:ascii="smartSimSun" w:hAnsi="smartSimSun" w:eastAsia="smartSimSun" w:cs="smartSimSun"/>
      <w:color w:val="000000"/>
      <w:sz w:val="18"/>
      <w:szCs w:val="18"/>
      <w:u w:val="none"/>
    </w:rPr>
  </w:style>
  <w:style w:type="paragraph" w:customStyle="1" w:styleId="54">
    <w:name w:val="正文文本1"/>
    <w:basedOn w:val="1"/>
    <w:qFormat/>
    <w:uiPriority w:val="0"/>
    <w:pPr>
      <w:shd w:val="clear" w:color="auto" w:fill="FFFFFF"/>
      <w:spacing w:line="312" w:lineRule="auto"/>
      <w:ind w:firstLine="400"/>
    </w:pPr>
    <w:rPr>
      <w:rFonts w:ascii="MingLiU" w:hAnsi="MingLiU" w:eastAsia="MingLiU" w:cs="MingLiU"/>
      <w:sz w:val="20"/>
      <w:szCs w:val="20"/>
      <w:lang w:val="zh-CN" w:eastAsia="zh-CN" w:bidi="zh-CN"/>
    </w:rPr>
  </w:style>
  <w:style w:type="paragraph" w:styleId="55">
    <w:name w:val="List Paragraph"/>
    <w:basedOn w:val="1"/>
    <w:unhideWhenUsed/>
    <w:qFormat/>
    <w:uiPriority w:val="99"/>
    <w:pPr>
      <w:ind w:firstLine="420" w:firstLineChars="200"/>
    </w:pPr>
  </w:style>
  <w:style w:type="paragraph" w:customStyle="1" w:styleId="56">
    <w:name w:val="null3"/>
    <w:hidden/>
    <w:qFormat/>
    <w:uiPriority w:val="0"/>
    <w:rPr>
      <w:rFonts w:hint="eastAsia" w:asciiTheme="minorHAnsi" w:hAnsiTheme="minorHAnsi" w:eastAsiaTheme="minorEastAsia" w:cstheme="minorBidi"/>
      <w:lang w:val="en-US" w:eastAsia="zh-Hans"/>
    </w:rPr>
  </w:style>
  <w:style w:type="paragraph" w:customStyle="1" w:styleId="57">
    <w:name w:val="Table Text"/>
    <w:basedOn w:val="1"/>
    <w:semiHidden/>
    <w:qFormat/>
    <w:uiPriority w:val="0"/>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5.wmf"/><Relationship Id="rId23" Type="http://schemas.openxmlformats.org/officeDocument/2006/relationships/oleObject" Target="embeddings/oleObject5.bin"/><Relationship Id="rId22" Type="http://schemas.openxmlformats.org/officeDocument/2006/relationships/image" Target="media/image4.wmf"/><Relationship Id="rId21" Type="http://schemas.openxmlformats.org/officeDocument/2006/relationships/oleObject" Target="embeddings/oleObject4.bin"/><Relationship Id="rId20" Type="http://schemas.openxmlformats.org/officeDocument/2006/relationships/image" Target="media/image3.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2.wmf"/><Relationship Id="rId17" Type="http://schemas.openxmlformats.org/officeDocument/2006/relationships/oleObject" Target="embeddings/oleObject2.bin"/><Relationship Id="rId16" Type="http://schemas.openxmlformats.org/officeDocument/2006/relationships/image" Target="media/image1.w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180</Pages>
  <Words>15419</Words>
  <Characters>15978</Characters>
  <Lines>272</Lines>
  <Paragraphs>76</Paragraphs>
  <TotalTime>15</TotalTime>
  <ScaleCrop>false</ScaleCrop>
  <LinksUpToDate>false</LinksUpToDate>
  <CharactersWithSpaces>16225</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2022-11-09T10:19:00Z</dcterms:created>
  <dc:creator>微软用户</dc:creator>
  <cp:lastModifiedBy>毕永红</cp:lastModifiedBy>
  <cp:lastPrinted>2021-09-30T07:26:00Z</cp:lastPrinted>
  <dcterms:modified xsi:type="dcterms:W3CDTF">2026-09-07T13:16:37Z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2010</vt:lpwstr>
  </property>
  <property fmtid="{D5CDD505-2E9C-101B-9397-08002B2CF9AE}" pid="4" name="LastSaved">
    <vt:filetime>2019-05-14T00:00:00Z</vt:filetime>
  </property>
  <property fmtid="{D5CDD505-2E9C-101B-9397-08002B2CF9AE}" pid="5" name="KSOProductBuildVer">
    <vt:lpwstr>2052-11.8.2.10552</vt:lpwstr>
  </property>
  <property fmtid="{D5CDD505-2E9C-101B-9397-08002B2CF9AE}" pid="6" name="ICV">
    <vt:lpwstr>FD2C906338CE4FD9BEDA6C559B2FC1D7</vt:lpwstr>
  </property>
  <property fmtid="{D5CDD505-2E9C-101B-9397-08002B2CF9AE}" pid="7" name="KSOTemplateDocerSaveRecord">
    <vt:lpwstr>eyJoZGlkIjoiYmVmOTY1OTliZDE0OWY3MTI2ZjVmZTljODYxMzFhNGYiLCJ1c2VySWQiOiI0ODA0Njk1MjkifQ==</vt:lpwstr>
  </property>
</Properties>
</file>