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6CC9D9">
      <w:pPr>
        <w:keepNext w:val="0"/>
        <w:keepLines w:val="0"/>
        <w:pageBreakBefore w:val="0"/>
        <w:widowControl w:val="0"/>
        <w:kinsoku/>
        <w:overflowPunct/>
        <w:topLinePunct w:val="0"/>
        <w:autoSpaceDE/>
        <w:autoSpaceDN/>
        <w:bidi w:val="0"/>
        <w:adjustRightInd w:val="0"/>
        <w:snapToGrid w:val="0"/>
        <w:spacing w:line="576" w:lineRule="exact"/>
        <w:ind w:left="0" w:leftChars="0"/>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2DBF43AE">
      <w:pPr>
        <w:keepNext w:val="0"/>
        <w:keepLines w:val="0"/>
        <w:pageBreakBefore w:val="0"/>
        <w:overflowPunct/>
        <w:topLinePunct w:val="0"/>
        <w:bidi w:val="0"/>
        <w:adjustRightInd w:val="0"/>
        <w:snapToGrid w:val="0"/>
        <w:spacing w:line="576" w:lineRule="exact"/>
        <w:ind w:left="0" w:left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134BDAAB">
      <w:pPr>
        <w:keepNext w:val="0"/>
        <w:keepLines w:val="0"/>
        <w:pageBreakBefore w:val="0"/>
        <w:overflowPunct/>
        <w:topLinePunct w:val="0"/>
        <w:bidi w:val="0"/>
        <w:adjustRightInd w:val="0"/>
        <w:snapToGrid w:val="0"/>
        <w:spacing w:line="576" w:lineRule="exact"/>
        <w:ind w:left="0" w:leftChars="0"/>
      </w:pPr>
    </w:p>
    <w:p w14:paraId="5B086FEC">
      <w:pPr>
        <w:keepNext w:val="0"/>
        <w:keepLines w:val="0"/>
        <w:pageBreakBefore w:val="0"/>
        <w:wordWrap w:val="0"/>
        <w:overflowPunct/>
        <w:topLinePunct w:val="0"/>
        <w:bidi w:val="0"/>
        <w:adjustRightInd w:val="0"/>
        <w:snapToGrid w:val="0"/>
        <w:spacing w:line="576" w:lineRule="exact"/>
        <w:ind w:left="0" w:leftChars="0"/>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30</w:t>
      </w:r>
      <w:r>
        <w:rPr>
          <w:rFonts w:hint="eastAsia" w:ascii="仿宋_GB2312" w:hAnsi="仿宋_GB2312" w:eastAsia="仿宋_GB2312" w:cs="仿宋_GB2312"/>
          <w:spacing w:val="-1"/>
          <w:sz w:val="32"/>
          <w:szCs w:val="32"/>
        </w:rPr>
        <w:t>号</w:t>
      </w:r>
    </w:p>
    <w:p w14:paraId="7FBEB172">
      <w:pPr>
        <w:keepNext w:val="0"/>
        <w:keepLines w:val="0"/>
        <w:pageBreakBefore w:val="0"/>
        <w:widowControl w:val="0"/>
        <w:kinsoku/>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 w:eastAsia="仿宋_GB2312" w:cs="Times New Roman"/>
          <w:snapToGrid/>
          <w:kern w:val="2"/>
          <w:sz w:val="32"/>
          <w:szCs w:val="32"/>
        </w:rPr>
      </w:pPr>
    </w:p>
    <w:p w14:paraId="6157A4F6">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default" w:ascii="仿宋_GB2312" w:hAnsi="仿宋" w:eastAsia="仿宋_GB2312" w:cs="Times New Roman"/>
          <w:snapToGrid/>
          <w:kern w:val="2"/>
          <w:sz w:val="32"/>
          <w:szCs w:val="32"/>
          <w:lang w:val="en-US" w:eastAsia="zh-CN"/>
        </w:rPr>
      </w:pPr>
      <w:r>
        <w:rPr>
          <w:rFonts w:hint="default" w:ascii="仿宋_GB2312" w:hAnsi="仿宋" w:eastAsia="仿宋_GB2312" w:cs="Times New Roman"/>
          <w:snapToGrid/>
          <w:kern w:val="2"/>
          <w:sz w:val="32"/>
          <w:szCs w:val="32"/>
          <w:lang w:val="en-US" w:eastAsia="zh-CN"/>
        </w:rPr>
        <w:t>当事人：江门市蓬江区启安科技发展有限公司</w:t>
      </w:r>
    </w:p>
    <w:p w14:paraId="09E91FDB">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default" w:ascii="仿宋_GB2312" w:hAnsi="仿宋" w:eastAsia="仿宋_GB2312" w:cs="Times New Roman"/>
          <w:snapToGrid/>
          <w:kern w:val="2"/>
          <w:sz w:val="32"/>
          <w:szCs w:val="32"/>
          <w:lang w:val="en-US" w:eastAsia="zh-CN"/>
        </w:rPr>
      </w:pPr>
      <w:r>
        <w:rPr>
          <w:rFonts w:hint="default" w:ascii="仿宋_GB2312" w:hAnsi="仿宋" w:eastAsia="仿宋_GB2312" w:cs="Times New Roman"/>
          <w:snapToGrid/>
          <w:kern w:val="2"/>
          <w:sz w:val="32"/>
          <w:szCs w:val="32"/>
          <w:lang w:val="en-US" w:eastAsia="zh-CN"/>
        </w:rPr>
        <w:t>统一社会信用代码：914407030667100134</w:t>
      </w:r>
    </w:p>
    <w:p w14:paraId="370EC262">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default" w:ascii="仿宋_GB2312" w:hAnsi="仿宋" w:eastAsia="仿宋_GB2312" w:cs="Times New Roman"/>
          <w:snapToGrid/>
          <w:kern w:val="2"/>
          <w:sz w:val="32"/>
          <w:szCs w:val="32"/>
          <w:lang w:val="en-US" w:eastAsia="zh-CN"/>
        </w:rPr>
      </w:pPr>
      <w:r>
        <w:rPr>
          <w:rFonts w:hint="default" w:ascii="仿宋_GB2312" w:hAnsi="仿宋" w:eastAsia="仿宋_GB2312" w:cs="Times New Roman"/>
          <w:snapToGrid/>
          <w:kern w:val="2"/>
          <w:sz w:val="32"/>
          <w:szCs w:val="32"/>
          <w:lang w:val="en-US" w:eastAsia="zh-CN"/>
        </w:rPr>
        <w:t>地址：江门市杜阮镇松园村瓦由口（土名）地段厂房</w:t>
      </w:r>
    </w:p>
    <w:p w14:paraId="6F0CF7B8">
      <w:pPr>
        <w:keepNext w:val="0"/>
        <w:keepLines w:val="0"/>
        <w:pageBreakBefore w:val="0"/>
        <w:widowControl w:val="0"/>
        <w:kinsoku/>
        <w:wordWrap/>
        <w:overflowPunct/>
        <w:topLinePunct w:val="0"/>
        <w:autoSpaceDE/>
        <w:autoSpaceDN/>
        <w:bidi w:val="0"/>
        <w:adjustRightInd w:val="0"/>
        <w:snapToGrid w:val="0"/>
        <w:spacing w:line="576" w:lineRule="exact"/>
        <w:textAlignment w:val="auto"/>
        <w:rPr>
          <w:rFonts w:hint="default" w:ascii="仿宋_GB2312" w:hAnsi="仿宋" w:eastAsia="仿宋_GB2312" w:cs="Times New Roman"/>
          <w:snapToGrid/>
          <w:kern w:val="2"/>
          <w:sz w:val="32"/>
          <w:szCs w:val="32"/>
          <w:lang w:val="en-US" w:eastAsia="zh-CN"/>
        </w:rPr>
      </w:pPr>
      <w:r>
        <w:rPr>
          <w:rFonts w:hint="default" w:ascii="仿宋_GB2312" w:hAnsi="仿宋" w:eastAsia="仿宋_GB2312" w:cs="Times New Roman"/>
          <w:snapToGrid/>
          <w:kern w:val="2"/>
          <w:sz w:val="32"/>
          <w:szCs w:val="32"/>
          <w:lang w:val="en-US" w:eastAsia="zh-CN"/>
        </w:rPr>
        <w:t>法定代表人：文弋</w:t>
      </w:r>
    </w:p>
    <w:p w14:paraId="07BEAE27">
      <w:pPr>
        <w:keepNext w:val="0"/>
        <w:keepLines w:val="0"/>
        <w:pageBreakBefore w:val="0"/>
        <w:overflowPunct/>
        <w:topLinePunct w:val="0"/>
        <w:autoSpaceDE/>
        <w:autoSpaceDN/>
        <w:bidi w:val="0"/>
        <w:adjustRightInd w:val="0"/>
        <w:snapToGrid w:val="0"/>
        <w:spacing w:line="576" w:lineRule="exact"/>
        <w:ind w:left="0" w:leftChars="0" w:firstLine="672" w:firstLineChars="200"/>
        <w:rPr>
          <w:rFonts w:ascii="黑体" w:hAnsi="黑体" w:eastAsia="黑体" w:cs="黑体"/>
          <w:spacing w:val="8"/>
          <w:position w:val="4"/>
          <w:sz w:val="32"/>
          <w:szCs w:val="32"/>
        </w:rPr>
      </w:pPr>
    </w:p>
    <w:p w14:paraId="2BD8469B">
      <w:pPr>
        <w:keepNext w:val="0"/>
        <w:keepLines w:val="0"/>
        <w:pageBreakBefore w:val="0"/>
        <w:overflowPunct/>
        <w:topLinePunct w:val="0"/>
        <w:autoSpaceDE/>
        <w:autoSpaceDN/>
        <w:bidi w:val="0"/>
        <w:adjustRightInd w:val="0"/>
        <w:snapToGrid w:val="0"/>
        <w:spacing w:line="576" w:lineRule="exact"/>
        <w:ind w:left="0" w:leftChars="0"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58D2E26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2026年6月23日，我局执法人员对你单位进行现场检查，发现你单位存在以下环境违法行为：你单位主要从事机动车检测项目，在对车牌号为粤T45837车辆开展加载减速法排放检测时，在未中止的情况下连续进行了两次加载减速检测。其中，第一次加载减速末期（13：55左右），车辆排放出明显可见烟，检测员未按规定持续将油门保持在最大开度状态直至系统通知，而是停踩油门，未按规定中止检测工作。在暂停约一分钟后继续开展第二次排放检测，并最终为粤T45837车辆出具“车辆是否存在烧机油或者严重冒黑烟现象”检验项目结果为“否”、“排气污染物测试”项目中“明显可见烟度”为“-”的《在用车检验（测）报告》（编号：440703042603041053536986）。根据《柴油车污染物排放限值及测量方法（自由加速法及加载减速法）》（GB3847-2018）中8.2.2条“如果车辆排放有明显可见烟度或烟度值超过林格曼1级，则判定排放检验不合格”、附录B.2.3.2.4条“检测开始后，检测员应始终将油门保持在最大开度状态，直到检测系统通知松开油门为止”、附录B.4.6.4条“在加载减速检测过程中，出于何种原因，如果操作驾驶员试图松开油门踏板，检测工作都将被提前中断。在这种情况下，自动试验程序认为检测工作已经中止，也可以通过在屏幕上锁定适当的复选框或用手触按键确认中止程序”及《机动车排放定期检验规范》（HJ 1238-2021）第5.1.2.4条“检验设备自检未通过、设备检查异常的，设备软件应锁止。检验过程数据异常（如氧浓度异常、过程数据不完整、采样气体低流量、泄漏、集气管低流量、环境信息异常、发动机转速异常、测功机吸收功率异常、转鼓线速度异常等）的，设备软件应及时提示检验人员在保证检验安全的条件下终止检验”的规定，你单位存在未依据法定的检测方法对机动车排气污染进行检测的违法行为。</w:t>
      </w:r>
    </w:p>
    <w:p w14:paraId="78B714E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2026年7月6日，我局执法人员抽查你单位于2026年6月26日和27日出具的3份《在用车检验（测）报告》，对检测报告、原始记录、检测过程视频进行核实，确认你单位依据法定的检测方法对上述3份检测报告对应的机动车排气污染进行检测，即你单位已改正违法行为。</w:t>
      </w:r>
    </w:p>
    <w:p w14:paraId="12A1262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以上事实，有以下主要证据证明：</w:t>
      </w:r>
    </w:p>
    <w:p w14:paraId="734C374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1.我局执法人员2026年6月23日制作的《现场检查（勘察）笔录》和《调查询问笔录》。</w:t>
      </w:r>
    </w:p>
    <w:p w14:paraId="4D2D7D2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2.我局执法人员2026年6月23日现场检查和调查询问时所拍摄的视频资料和照片资料（含粤T45837车辆检测监控视频）。</w:t>
      </w:r>
    </w:p>
    <w:p w14:paraId="2AE9215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3.你单位2026年6月23日提供的《在用车检验（测）报告》（报告编号：440703042603041053536986）。</w:t>
      </w:r>
    </w:p>
    <w:p w14:paraId="5CE53A4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4.你单位2026年6月23日提供的《授权委托书》。</w:t>
      </w:r>
    </w:p>
    <w:p w14:paraId="41F29E7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5.你单位2026年6月23日提供的欧X豪驾驶证和身份证。</w:t>
      </w:r>
    </w:p>
    <w:p w14:paraId="412DBE68">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证据1至5证明：一是你单位主体信息和法定代表人文弋身份信息；二是检验员欧X豪的身份信息及委托其配合我局执法工作；三是你单位具有资质认定；四是你单位在对车牌</w:t>
      </w:r>
      <w:bookmarkStart w:id="0" w:name="_GoBack"/>
      <w:bookmarkEnd w:id="0"/>
      <w:r>
        <w:rPr>
          <w:rFonts w:hint="eastAsia" w:ascii="仿宋_GB2312" w:hAnsi="Calibri" w:eastAsia="仿宋_GB2312" w:cs="Times New Roman"/>
          <w:sz w:val="32"/>
          <w:szCs w:val="32"/>
          <w:lang w:val="en-US" w:eastAsia="zh-CN"/>
        </w:rPr>
        <w:t>号为粤T45837的柴油车（车辆识别代码：LGAX5D659F3010363）开展加载减速法排放检测时，车辆冒出明显可见烟，检验员停踩油门、未中断检验而再次进行检测，并为该车出具“车辆是否存在烧机油或者严重冒黑烟现象”检验项目结果为“否”、“排气污染物测试”项目中“明显可见烟度”为“-”的《在用车检验（测）报告》（编号：440703042603041053536986）。</w:t>
      </w:r>
    </w:p>
    <w:p w14:paraId="34DEAD1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6.2026年7月6日你单位提供的《在用车检验（测）报告》（报告编号为：440703042606270819235953、440703042606260822411636、440703042606261411264524。</w:t>
      </w:r>
    </w:p>
    <w:p w14:paraId="6791557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证据6证明你单位依据法定的检测方法对上述3份检测报告对应的机动车排气污染进行检测，即你单位已改正违法行为。</w:t>
      </w:r>
    </w:p>
    <w:p w14:paraId="0412195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7.2026年6月23日我局执法人员调查所作的《江门市生态环境局你单位送达地址确认书》。</w:t>
      </w:r>
    </w:p>
    <w:p w14:paraId="540A3D1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jc w:val="both"/>
        <w:textAlignment w:val="auto"/>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证据7证明你单位已提供经确认过的送达地址和方式。</w:t>
      </w:r>
    </w:p>
    <w:p w14:paraId="724B7ED1">
      <w:pPr>
        <w:keepNext w:val="0"/>
        <w:keepLines w:val="0"/>
        <w:pageBreakBefore w:val="0"/>
        <w:widowControl w:val="0"/>
        <w:numPr>
          <w:ilvl w:val="0"/>
          <w:numId w:val="1"/>
        </w:numPr>
        <w:kinsoku/>
        <w:overflowPunct/>
        <w:topLinePunct w:val="0"/>
        <w:autoSpaceDE/>
        <w:autoSpaceDN/>
        <w:bidi w:val="0"/>
        <w:adjustRightInd w:val="0"/>
        <w:snapToGrid w:val="0"/>
        <w:spacing w:line="576" w:lineRule="exact"/>
        <w:ind w:left="0" w:leftChars="0" w:firstLine="640" w:firstLineChars="200"/>
        <w:jc w:val="both"/>
        <w:textAlignment w:val="auto"/>
        <w:rPr>
          <w:rFonts w:ascii="黑体" w:hAnsi="黑体" w:eastAsia="黑体" w:cs="黑体"/>
          <w:sz w:val="32"/>
          <w:szCs w:val="32"/>
        </w:rPr>
      </w:pPr>
      <w:r>
        <w:rPr>
          <w:rFonts w:hint="eastAsia" w:ascii="黑体" w:hAnsi="黑体" w:eastAsia="黑体" w:cs="黑体"/>
          <w:sz w:val="32"/>
          <w:szCs w:val="32"/>
        </w:rPr>
        <w:t>责令改正的依据、种类及其履行方式和期限</w:t>
      </w:r>
    </w:p>
    <w:p w14:paraId="58D4AB66">
      <w:pPr>
        <w:keepNext w:val="0"/>
        <w:keepLines w:val="0"/>
        <w:pageBreakBefore w:val="0"/>
        <w:widowControl w:val="0"/>
        <w:kinsoku/>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你单位的上述行为，违反了《</w:t>
      </w:r>
      <w:r>
        <w:rPr>
          <w:rFonts w:hint="eastAsia" w:ascii="仿宋_GB2312" w:hAnsi="仿宋_GB2312" w:eastAsia="仿宋_GB2312" w:cs="仿宋_GB2312"/>
          <w:sz w:val="32"/>
          <w:szCs w:val="32"/>
          <w:lang w:eastAsia="zh-CN"/>
        </w:rPr>
        <w:t>广东省机动车排气污染防治条例</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十八</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第一项“机动车排放检验机构应当遵守下列规定：（一）依据法定的检测方法、检测标准对机动车排气污染进行检测……”</w:t>
      </w:r>
      <w:r>
        <w:rPr>
          <w:rFonts w:hint="eastAsia" w:ascii="仿宋_GB2312" w:hAnsi="仿宋_GB2312" w:eastAsia="仿宋_GB2312" w:cs="仿宋_GB2312"/>
          <w:sz w:val="32"/>
          <w:szCs w:val="32"/>
        </w:rPr>
        <w:t>的规定，依据《</w:t>
      </w:r>
      <w:r>
        <w:rPr>
          <w:rFonts w:hint="eastAsia" w:ascii="仿宋_GB2312" w:hAnsi="仿宋_GB2312" w:eastAsia="仿宋_GB2312" w:cs="仿宋_GB2312"/>
          <w:sz w:val="32"/>
          <w:szCs w:val="32"/>
          <w:lang w:eastAsia="zh-CN"/>
        </w:rPr>
        <w:t>广东省机动车排气污染防治条例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第三十三条第一款</w:t>
      </w:r>
      <w:r>
        <w:rPr>
          <w:rFonts w:hint="eastAsia" w:ascii="仿宋_GB2312" w:hAnsi="仿宋_GB2312" w:eastAsia="仿宋_GB2312" w:cs="仿宋_GB2312"/>
          <w:sz w:val="32"/>
          <w:szCs w:val="32"/>
          <w:lang w:eastAsia="zh-CN"/>
        </w:rPr>
        <w:t>“机动车排放检验机构违反本条例第十八条第一项、第二项、第四项至第六项规定的，由县级以上生态环境主管部门或者其他有关主管部门责令其停止违法行为，限期改正，并可以处一万元以上五万元以下罚款；情节严重的，由资质认定部门取消其检验资质，并向社会公告</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的规定，</w:t>
      </w:r>
      <w:r>
        <w:rPr>
          <w:rFonts w:hint="eastAsia" w:ascii="仿宋_GB2312" w:hAnsi="仿宋_GB2312" w:eastAsia="仿宋_GB2312" w:cs="仿宋_GB2312"/>
          <w:b/>
          <w:bCs/>
          <w:sz w:val="32"/>
          <w:szCs w:val="32"/>
        </w:rPr>
        <w:t>我局责令你单位自收到本决定书之日起</w:t>
      </w:r>
      <w:r>
        <w:rPr>
          <w:rFonts w:hint="eastAsia" w:ascii="仿宋_GB2312" w:hAnsi="仿宋_GB2312" w:eastAsia="仿宋_GB2312" w:cs="仿宋_GB2312"/>
          <w:b/>
          <w:bCs/>
          <w:sz w:val="32"/>
          <w:szCs w:val="32"/>
          <w:lang w:val="en-US" w:eastAsia="zh-CN"/>
        </w:rPr>
        <w:t>立即改正未依据法定的检测方法对机动车排气污染进行检测的违法行为</w:t>
      </w:r>
      <w:r>
        <w:rPr>
          <w:rFonts w:hint="eastAsia" w:ascii="仿宋_GB2312" w:hAnsi="仿宋_GB2312" w:eastAsia="仿宋_GB2312" w:cs="仿宋_GB2312"/>
          <w:b/>
          <w:bCs/>
          <w:sz w:val="32"/>
          <w:szCs w:val="32"/>
        </w:rPr>
        <w:t>。</w:t>
      </w:r>
    </w:p>
    <w:p w14:paraId="171186EB">
      <w:pPr>
        <w:keepNext w:val="0"/>
        <w:keepLines w:val="0"/>
        <w:pageBreakBefore w:val="0"/>
        <w:widowControl w:val="0"/>
        <w:kinsoku/>
        <w:overflowPunct/>
        <w:topLinePunct w:val="0"/>
        <w:autoSpaceDE/>
        <w:autoSpaceDN/>
        <w:bidi w:val="0"/>
        <w:adjustRightInd w:val="0"/>
        <w:snapToGrid w:val="0"/>
        <w:spacing w:line="576"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330BBA5E">
      <w:pPr>
        <w:keepNext w:val="0"/>
        <w:keepLines w:val="0"/>
        <w:pageBreakBefore w:val="0"/>
        <w:widowControl w:val="0"/>
        <w:kinsoku/>
        <w:overflowPunct/>
        <w:topLinePunct w:val="0"/>
        <w:autoSpaceDE/>
        <w:autoSpaceDN/>
        <w:bidi w:val="0"/>
        <w:adjustRightInd w:val="0"/>
        <w:snapToGrid w:val="0"/>
        <w:spacing w:line="576" w:lineRule="exact"/>
        <w:ind w:left="0" w:leftChars="0" w:firstLine="640" w:firstLineChars="200"/>
        <w:textAlignment w:val="auto"/>
        <w:rPr>
          <w:rFonts w:ascii="仿宋_GB2312" w:hAnsi="仿宋" w:eastAsia="仿宋_GB2312" w:cs="Times New Roman"/>
          <w:snapToGrid/>
          <w:kern w:val="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0733BBAF">
      <w:pPr>
        <w:keepNext w:val="0"/>
        <w:keepLines w:val="0"/>
        <w:pageBreakBefore w:val="0"/>
        <w:widowControl w:val="0"/>
        <w:kinsoku/>
        <w:overflowPunct/>
        <w:topLinePunct w:val="0"/>
        <w:autoSpaceDE/>
        <w:autoSpaceDN/>
        <w:bidi w:val="0"/>
        <w:adjustRightInd w:val="0"/>
        <w:snapToGrid w:val="0"/>
        <w:spacing w:line="576" w:lineRule="exact"/>
        <w:ind w:left="945" w:leftChars="304" w:hanging="307" w:hangingChars="96"/>
        <w:textAlignment w:val="auto"/>
        <w:rPr>
          <w:rFonts w:hint="eastAsia" w:ascii="仿宋_GB2312" w:hAnsi="仿宋_GB2312" w:eastAsia="仿宋_GB2312" w:cs="仿宋_GB2312"/>
          <w:snapToGrid/>
          <w:kern w:val="2"/>
          <w:sz w:val="32"/>
          <w:szCs w:val="32"/>
        </w:rPr>
      </w:pPr>
    </w:p>
    <w:p w14:paraId="453157CC">
      <w:pPr>
        <w:keepNext w:val="0"/>
        <w:keepLines w:val="0"/>
        <w:pageBreakBefore w:val="0"/>
        <w:widowControl w:val="0"/>
        <w:kinsoku/>
        <w:overflowPunct/>
        <w:topLinePunct w:val="0"/>
        <w:autoSpaceDE/>
        <w:autoSpaceDN/>
        <w:bidi w:val="0"/>
        <w:adjustRightInd w:val="0"/>
        <w:snapToGrid w:val="0"/>
        <w:spacing w:line="576" w:lineRule="exact"/>
        <w:ind w:left="945" w:leftChars="304" w:hanging="307" w:hangingChars="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13A9A0E7">
      <w:pPr>
        <w:keepNext w:val="0"/>
        <w:keepLines w:val="0"/>
        <w:pageBreakBefore w:val="0"/>
        <w:widowControl w:val="0"/>
        <w:kinsoku/>
        <w:overflowPunct/>
        <w:topLinePunct w:val="0"/>
        <w:autoSpaceDE/>
        <w:autoSpaceDN/>
        <w:bidi w:val="0"/>
        <w:adjustRightInd w:val="0"/>
        <w:snapToGrid w:val="0"/>
        <w:spacing w:line="576" w:lineRule="exact"/>
        <w:ind w:left="945" w:leftChars="304" w:hanging="307" w:hangingChars="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eastAsia="zh-CN"/>
        </w:rPr>
        <w:t>慕小姐</w:t>
      </w:r>
      <w:r>
        <w:rPr>
          <w:rFonts w:hint="eastAsia" w:ascii="仿宋_GB2312" w:hAnsi="仿宋_GB2312" w:eastAsia="仿宋_GB2312" w:cs="仿宋_GB2312"/>
          <w:snapToGrid/>
          <w:kern w:val="2"/>
          <w:sz w:val="32"/>
          <w:szCs w:val="32"/>
        </w:rPr>
        <w:t>，联系电话：0750-3291</w:t>
      </w:r>
      <w:r>
        <w:rPr>
          <w:rFonts w:hint="eastAsia" w:ascii="仿宋_GB2312" w:hAnsi="仿宋_GB2312" w:eastAsia="仿宋_GB2312" w:cs="仿宋_GB2312"/>
          <w:snapToGrid/>
          <w:kern w:val="2"/>
          <w:sz w:val="32"/>
          <w:szCs w:val="32"/>
          <w:lang w:val="en-US" w:eastAsia="zh-CN"/>
        </w:rPr>
        <w:t>707</w:t>
      </w:r>
      <w:r>
        <w:rPr>
          <w:rFonts w:hint="eastAsia" w:ascii="仿宋_GB2312" w:hAnsi="仿宋_GB2312" w:eastAsia="仿宋_GB2312" w:cs="仿宋_GB2312"/>
          <w:snapToGrid/>
          <w:kern w:val="2"/>
          <w:sz w:val="32"/>
          <w:szCs w:val="32"/>
        </w:rPr>
        <w:t>。</w:t>
      </w:r>
    </w:p>
    <w:p w14:paraId="34555E6B">
      <w:pPr>
        <w:keepNext w:val="0"/>
        <w:keepLines w:val="0"/>
        <w:pageBreakBefore w:val="0"/>
        <w:widowControl w:val="0"/>
        <w:kinsoku/>
        <w:overflowPunct/>
        <w:topLinePunct w:val="0"/>
        <w:autoSpaceDE/>
        <w:autoSpaceDN/>
        <w:bidi w:val="0"/>
        <w:adjustRightInd w:val="0"/>
        <w:snapToGrid w:val="0"/>
        <w:spacing w:line="576" w:lineRule="exact"/>
        <w:jc w:val="both"/>
        <w:textAlignment w:val="auto"/>
        <w:rPr>
          <w:rFonts w:hint="eastAsia" w:ascii="仿宋_GB2312" w:hAnsi="仿宋_GB2312" w:eastAsia="仿宋_GB2312" w:cs="仿宋_GB2312"/>
          <w:snapToGrid/>
          <w:kern w:val="2"/>
          <w:sz w:val="32"/>
          <w:szCs w:val="32"/>
        </w:rPr>
      </w:pPr>
    </w:p>
    <w:p w14:paraId="17C16716">
      <w:pPr>
        <w:pStyle w:val="2"/>
        <w:keepNext w:val="0"/>
        <w:keepLines w:val="0"/>
        <w:pageBreakBefore w:val="0"/>
        <w:overflowPunct/>
        <w:topLinePunct w:val="0"/>
        <w:bidi w:val="0"/>
        <w:adjustRightInd w:val="0"/>
        <w:snapToGrid w:val="0"/>
        <w:spacing w:line="576" w:lineRule="exact"/>
        <w:rPr>
          <w:rFonts w:hint="eastAsia"/>
        </w:rPr>
      </w:pPr>
    </w:p>
    <w:p w14:paraId="217C8152">
      <w:pPr>
        <w:keepNext w:val="0"/>
        <w:keepLines w:val="0"/>
        <w:pageBreakBefore w:val="0"/>
        <w:widowControl w:val="0"/>
        <w:kinsoku/>
        <w:wordWrap w:val="0"/>
        <w:overflowPunct/>
        <w:topLinePunct w:val="0"/>
        <w:autoSpaceDE/>
        <w:autoSpaceDN/>
        <w:bidi w:val="0"/>
        <w:adjustRightInd w:val="0"/>
        <w:snapToGrid w:val="0"/>
        <w:spacing w:line="576" w:lineRule="exact"/>
        <w:ind w:left="0" w:leftChars="0"/>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668D20F9">
      <w:pPr>
        <w:keepNext w:val="0"/>
        <w:keepLines w:val="0"/>
        <w:pageBreakBefore w:val="0"/>
        <w:widowControl w:val="0"/>
        <w:kinsoku/>
        <w:wordWrap w:val="0"/>
        <w:overflowPunct/>
        <w:topLinePunct w:val="0"/>
        <w:autoSpaceDE/>
        <w:autoSpaceDN/>
        <w:bidi w:val="0"/>
        <w:adjustRightInd w:val="0"/>
        <w:snapToGrid w:val="0"/>
        <w:spacing w:line="576" w:lineRule="exact"/>
        <w:ind w:left="0" w:leftChars="0"/>
        <w:jc w:val="right"/>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11</w:t>
      </w:r>
      <w:r>
        <w:rPr>
          <w:rFonts w:hint="eastAsia" w:ascii="仿宋_GB2312" w:hAnsi="仿宋" w:eastAsia="仿宋_GB2312" w:cs="Times New Roman"/>
          <w:snapToGrid/>
          <w:kern w:val="2"/>
          <w:sz w:val="32"/>
          <w:szCs w:val="32"/>
        </w:rPr>
        <w:t xml:space="preserve">日  </w:t>
      </w:r>
      <w:r>
        <w:rPr>
          <w:rFonts w:hint="eastAsia" w:ascii="仿宋_GB2312" w:hAnsi="仿宋" w:eastAsia="仿宋_GB2312" w:cs="Times New Roman"/>
          <w:snapToGrid/>
          <w:kern w:val="2"/>
          <w:sz w:val="32"/>
          <w:szCs w:val="32"/>
          <w:lang w:val="en-US" w:eastAsia="zh-CN"/>
        </w:rPr>
        <w:t xml:space="preserve"> </w:t>
      </w:r>
      <w:r>
        <w:rPr>
          <w:rFonts w:hint="eastAsia" w:ascii="仿宋_GB2312" w:hAnsi="仿宋" w:eastAsia="仿宋_GB2312" w:cs="Times New Roman"/>
          <w:snapToGrid/>
          <w:kern w:val="2"/>
          <w:sz w:val="32"/>
          <w:szCs w:val="32"/>
        </w:rPr>
        <w:t xml:space="preserve"> </w:t>
      </w:r>
    </w:p>
    <w:p w14:paraId="7EC8F534">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right"/>
        <w:textAlignment w:val="auto"/>
        <w:rPr>
          <w:rFonts w:hint="eastAsia" w:ascii="仿宋_GB2312" w:hAnsi="仿宋" w:eastAsia="仿宋_GB2312" w:cs="Times New Roman"/>
          <w:snapToGrid/>
          <w:kern w:val="2"/>
          <w:sz w:val="32"/>
          <w:szCs w:val="32"/>
        </w:rPr>
      </w:pPr>
    </w:p>
    <w:p w14:paraId="03AA9A4B">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right"/>
        <w:textAlignment w:val="auto"/>
        <w:rPr>
          <w:rFonts w:hint="eastAsia" w:ascii="仿宋_GB2312" w:hAnsi="仿宋" w:eastAsia="仿宋_GB2312" w:cs="Times New Roman"/>
          <w:snapToGrid/>
          <w:kern w:val="2"/>
          <w:sz w:val="32"/>
          <w:szCs w:val="32"/>
        </w:rPr>
      </w:pPr>
    </w:p>
    <w:p w14:paraId="6AC82FDD">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2399F36E">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 </w:t>
      </w:r>
    </w:p>
    <w:p w14:paraId="76843EB2">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304190F4">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64121DB8">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1BC16635">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2780C73E">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7F9B3266">
      <w:pPr>
        <w:keepNext w:val="0"/>
        <w:keepLines w:val="0"/>
        <w:pageBreakBefore w:val="0"/>
        <w:widowControl w:val="0"/>
        <w:kinsoku/>
        <w:wordWrap w:val="0"/>
        <w:overflowPunct/>
        <w:topLinePunct w:val="0"/>
        <w:autoSpaceDE/>
        <w:autoSpaceDN/>
        <w:bidi w:val="0"/>
        <w:adjustRightInd w:val="0"/>
        <w:snapToGrid w:val="0"/>
        <w:spacing w:line="400" w:lineRule="exact"/>
        <w:ind w:left="0" w:leftChars="0"/>
        <w:jc w:val="both"/>
        <w:textAlignment w:val="auto"/>
        <w:rPr>
          <w:rFonts w:hint="eastAsia" w:ascii="仿宋_GB2312" w:hAnsi="仿宋" w:eastAsia="仿宋_GB2312" w:cs="Times New Roman"/>
          <w:snapToGrid/>
          <w:kern w:val="2"/>
          <w:sz w:val="32"/>
          <w:szCs w:val="32"/>
        </w:rPr>
      </w:pPr>
    </w:p>
    <w:p w14:paraId="4EBCABD2">
      <w:pPr>
        <w:pStyle w:val="2"/>
        <w:keepNext w:val="0"/>
        <w:keepLines w:val="0"/>
        <w:pageBreakBefore w:val="0"/>
        <w:overflowPunct/>
        <w:topLinePunct w:val="0"/>
        <w:bidi w:val="0"/>
        <w:adjustRightInd w:val="0"/>
        <w:snapToGrid w:val="0"/>
        <w:spacing w:line="400" w:lineRule="exact"/>
        <w:rPr>
          <w:rFonts w:hint="eastAsia" w:ascii="仿宋_GB2312" w:hAnsi="仿宋" w:eastAsia="仿宋_GB2312" w:cs="Times New Roman"/>
          <w:snapToGrid/>
          <w:kern w:val="2"/>
          <w:sz w:val="32"/>
          <w:szCs w:val="32"/>
        </w:rPr>
      </w:pPr>
    </w:p>
    <w:p w14:paraId="53D223FA">
      <w:pPr>
        <w:pStyle w:val="2"/>
        <w:keepNext w:val="0"/>
        <w:keepLines w:val="0"/>
        <w:pageBreakBefore w:val="0"/>
        <w:overflowPunct/>
        <w:topLinePunct w:val="0"/>
        <w:bidi w:val="0"/>
        <w:adjustRightInd w:val="0"/>
        <w:snapToGrid w:val="0"/>
        <w:spacing w:line="400" w:lineRule="exact"/>
        <w:ind w:left="0" w:leftChars="0" w:firstLine="0" w:firstLineChars="0"/>
        <w:rPr>
          <w:rFonts w:hint="eastAsia"/>
        </w:rPr>
      </w:pPr>
    </w:p>
    <w:p w14:paraId="10F2E865">
      <w:pPr>
        <w:keepNext w:val="0"/>
        <w:keepLines w:val="0"/>
        <w:pageBreakBefore w:val="0"/>
        <w:widowControl w:val="0"/>
        <w:kinsoku/>
        <w:wordWrap w:val="0"/>
        <w:overflowPunct/>
        <w:topLinePunct w:val="0"/>
        <w:autoSpaceDE/>
        <w:autoSpaceDN/>
        <w:bidi w:val="0"/>
        <w:adjustRightInd w:val="0"/>
        <w:snapToGrid w:val="0"/>
        <w:spacing w:line="660" w:lineRule="exact"/>
        <w:ind w:left="0" w:leftChars="0"/>
        <w:jc w:val="both"/>
        <w:textAlignment w:val="auto"/>
        <w:rPr>
          <w:rFonts w:hint="eastAsia" w:ascii="仿宋_GB2312" w:hAnsi="仿宋" w:eastAsia="仿宋_GB2312" w:cs="Times New Roman"/>
          <w:snapToGrid/>
          <w:kern w:val="2"/>
          <w:sz w:val="32"/>
          <w:szCs w:val="32"/>
        </w:rPr>
      </w:pPr>
    </w:p>
    <w:p w14:paraId="3F8F7DF1">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p w14:paraId="272FF927">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both"/>
        <w:textAlignment w:val="auto"/>
        <w:rPr>
          <w:rFonts w:hint="eastAsia" w:ascii="仿宋_GB2312" w:hAnsi="仿宋" w:eastAsia="仿宋_GB2312" w:cs="Times New Roman"/>
          <w:snapToGrid/>
          <w:kern w:val="2"/>
          <w:sz w:val="32"/>
          <w:szCs w:val="32"/>
        </w:rPr>
      </w:pPr>
    </w:p>
    <w:tbl>
      <w:tblPr>
        <w:tblStyle w:val="6"/>
        <w:tblpPr w:leftFromText="180" w:rightFromText="180" w:vertAnchor="text" w:horzAnchor="page" w:tblpX="1516" w:tblpY="7877"/>
        <w:tblW w:w="91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2D825A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2472DE3B">
            <w:pPr>
              <w:spacing w:line="540" w:lineRule="exact"/>
              <w:ind w:left="960" w:hanging="960" w:hangingChars="3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杜阮镇人民政府</w:t>
            </w:r>
          </w:p>
        </w:tc>
      </w:tr>
    </w:tbl>
    <w:p w14:paraId="7DF2A6C7">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pPr>
    </w:p>
    <w:sectPr>
      <w:footerReference r:id="rId3" w:type="default"/>
      <w:pgSz w:w="11906" w:h="16838"/>
      <w:pgMar w:top="2098" w:right="1588" w:bottom="1984" w:left="1588" w:header="851" w:footer="158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E2D4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B447A5">
                          <w:pPr>
                            <w:pStyle w:val="4"/>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AB447A5">
                    <w:pPr>
                      <w:pStyle w:val="4"/>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47A56"/>
    <w:multiLevelType w:val="singleLevel"/>
    <w:tmpl w:val="C0647A5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023AFB"/>
    <w:rsid w:val="002237E9"/>
    <w:rsid w:val="00647BA4"/>
    <w:rsid w:val="07BD7771"/>
    <w:rsid w:val="09E153CF"/>
    <w:rsid w:val="0EF462A6"/>
    <w:rsid w:val="0F450E31"/>
    <w:rsid w:val="13CD319C"/>
    <w:rsid w:val="13D54D30"/>
    <w:rsid w:val="185B5F58"/>
    <w:rsid w:val="190502F2"/>
    <w:rsid w:val="19242573"/>
    <w:rsid w:val="19E55FDE"/>
    <w:rsid w:val="1B7E435C"/>
    <w:rsid w:val="1C607043"/>
    <w:rsid w:val="1CCD666E"/>
    <w:rsid w:val="1DB70EA7"/>
    <w:rsid w:val="1DDC6A73"/>
    <w:rsid w:val="1E8768A2"/>
    <w:rsid w:val="1F7F79CC"/>
    <w:rsid w:val="1FF13E14"/>
    <w:rsid w:val="1FF2444B"/>
    <w:rsid w:val="2434206F"/>
    <w:rsid w:val="24ED3020"/>
    <w:rsid w:val="257B169F"/>
    <w:rsid w:val="26A76454"/>
    <w:rsid w:val="27082C6B"/>
    <w:rsid w:val="297A323D"/>
    <w:rsid w:val="2B7E160C"/>
    <w:rsid w:val="2D7B59C5"/>
    <w:rsid w:val="2FF23482"/>
    <w:rsid w:val="322432AD"/>
    <w:rsid w:val="332814EE"/>
    <w:rsid w:val="34787957"/>
    <w:rsid w:val="37EA5D24"/>
    <w:rsid w:val="3819143A"/>
    <w:rsid w:val="39A66C16"/>
    <w:rsid w:val="3A95066C"/>
    <w:rsid w:val="3A9651C3"/>
    <w:rsid w:val="3D5E034E"/>
    <w:rsid w:val="3EF232D4"/>
    <w:rsid w:val="409C3422"/>
    <w:rsid w:val="437B34FA"/>
    <w:rsid w:val="43C350BE"/>
    <w:rsid w:val="45A35CF1"/>
    <w:rsid w:val="462B36BF"/>
    <w:rsid w:val="49684CDE"/>
    <w:rsid w:val="4A294D53"/>
    <w:rsid w:val="4D07132D"/>
    <w:rsid w:val="4D7517FD"/>
    <w:rsid w:val="4EDD6752"/>
    <w:rsid w:val="4FFF3359"/>
    <w:rsid w:val="50950430"/>
    <w:rsid w:val="54546397"/>
    <w:rsid w:val="54A43D05"/>
    <w:rsid w:val="55A924DA"/>
    <w:rsid w:val="5615605E"/>
    <w:rsid w:val="5A6C5E26"/>
    <w:rsid w:val="5B78662B"/>
    <w:rsid w:val="5C73189B"/>
    <w:rsid w:val="5CD96C5B"/>
    <w:rsid w:val="5EBB6A14"/>
    <w:rsid w:val="630F3B7D"/>
    <w:rsid w:val="63EA117A"/>
    <w:rsid w:val="658B6451"/>
    <w:rsid w:val="67E31B36"/>
    <w:rsid w:val="6BE44365"/>
    <w:rsid w:val="6BFFD860"/>
    <w:rsid w:val="6C70648D"/>
    <w:rsid w:val="6D464D82"/>
    <w:rsid w:val="6FF7286B"/>
    <w:rsid w:val="7125274C"/>
    <w:rsid w:val="743A2544"/>
    <w:rsid w:val="77A60210"/>
    <w:rsid w:val="77BC0DAF"/>
    <w:rsid w:val="798E4CE5"/>
    <w:rsid w:val="7E6728F4"/>
    <w:rsid w:val="7E9C12A2"/>
    <w:rsid w:val="7F4B3498"/>
    <w:rsid w:val="7FAD1BFA"/>
    <w:rsid w:val="DB7D5A49"/>
    <w:rsid w:val="DBFF8525"/>
    <w:rsid w:val="EFFF4D0A"/>
    <w:rsid w:val="FBBB99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Calibri" w:hAnsi="Calibri" w:eastAsia="宋体"/>
    </w:rPr>
  </w:style>
  <w:style w:type="paragraph" w:styleId="3">
    <w:name w:val="Balloon Text"/>
    <w:basedOn w:val="1"/>
    <w:link w:val="10"/>
    <w:qFormat/>
    <w:uiPriority w:val="0"/>
    <w:rPr>
      <w:sz w:val="18"/>
      <w:szCs w:val="18"/>
    </w:rPr>
  </w:style>
  <w:style w:type="paragraph" w:styleId="4">
    <w:name w:val="footer"/>
    <w:basedOn w:val="1"/>
    <w:link w:val="9"/>
    <w:qFormat/>
    <w:uiPriority w:val="0"/>
    <w:pPr>
      <w:tabs>
        <w:tab w:val="center" w:pos="4153"/>
        <w:tab w:val="right" w:pos="8306"/>
      </w:tabs>
    </w:pPr>
    <w:rPr>
      <w:sz w:val="18"/>
      <w:szCs w:val="18"/>
    </w:rPr>
  </w:style>
  <w:style w:type="paragraph" w:styleId="5">
    <w:name w:val="header"/>
    <w:basedOn w:val="1"/>
    <w:link w:val="8"/>
    <w:qFormat/>
    <w:uiPriority w:val="0"/>
    <w:pPr>
      <w:pBdr>
        <w:bottom w:val="single" w:color="auto" w:sz="6" w:space="1"/>
      </w:pBdr>
      <w:tabs>
        <w:tab w:val="center" w:pos="4153"/>
        <w:tab w:val="right" w:pos="8306"/>
      </w:tabs>
      <w:jc w:val="center"/>
    </w:pPr>
    <w:rPr>
      <w:sz w:val="18"/>
      <w:szCs w:val="18"/>
    </w:rPr>
  </w:style>
  <w:style w:type="character" w:customStyle="1" w:styleId="8">
    <w:name w:val="页眉 Char"/>
    <w:basedOn w:val="7"/>
    <w:link w:val="5"/>
    <w:qFormat/>
    <w:uiPriority w:val="0"/>
    <w:rPr>
      <w:rFonts w:ascii="Arial" w:hAnsi="Arial" w:eastAsia="Arial" w:cs="Arial"/>
      <w:snapToGrid w:val="0"/>
      <w:color w:val="000000"/>
      <w:sz w:val="18"/>
      <w:szCs w:val="18"/>
    </w:rPr>
  </w:style>
  <w:style w:type="character" w:customStyle="1" w:styleId="9">
    <w:name w:val="页脚 Char"/>
    <w:basedOn w:val="7"/>
    <w:link w:val="4"/>
    <w:qFormat/>
    <w:uiPriority w:val="0"/>
    <w:rPr>
      <w:rFonts w:ascii="Arial" w:hAnsi="Arial" w:eastAsia="Arial" w:cs="Arial"/>
      <w:snapToGrid w:val="0"/>
      <w:color w:val="000000"/>
      <w:sz w:val="18"/>
      <w:szCs w:val="18"/>
    </w:rPr>
  </w:style>
  <w:style w:type="character" w:customStyle="1" w:styleId="10">
    <w:name w:val="批注框文本 Char"/>
    <w:basedOn w:val="7"/>
    <w:link w:val="3"/>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2106</Words>
  <Characters>2411</Characters>
  <Lines>5</Lines>
  <Paragraphs>1</Paragraphs>
  <TotalTime>1</TotalTime>
  <ScaleCrop>false</ScaleCrop>
  <LinksUpToDate>false</LinksUpToDate>
  <CharactersWithSpaces>2421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2023-04-01T02:23:00Z</dcterms:created>
  <dc:creator>永乐大大帝</dc:creator>
  <cp:lastModifiedBy>简某某</cp:lastModifiedBy>
  <cp:lastPrinted>2023-12-01T07:23:00Z</cp:lastPrinted>
  <dcterms:modified xsi:type="dcterms:W3CDTF">2026-09-17T01:42:03Z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