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F015F">
      <w:pPr>
        <w:keepNext w:val="0"/>
        <w:keepLines w:val="0"/>
        <w:pageBreakBefore w:val="0"/>
        <w:widowControl w:val="0"/>
        <w:kinsoku/>
        <w:overflowPunct/>
        <w:topLinePunct w:val="0"/>
        <w:autoSpaceDE/>
        <w:autoSpaceDN/>
        <w:bidi w:val="0"/>
        <w:spacing w:line="576" w:lineRule="exact"/>
        <w:ind w:left="0" w:leftChars="0"/>
        <w:jc w:val="center"/>
        <w:textAlignment w:val="auto"/>
        <w:rPr>
          <w:rFonts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江门市生态环境局</w:t>
      </w:r>
    </w:p>
    <w:p w14:paraId="1577C5AE">
      <w:pPr>
        <w:keepNext w:val="0"/>
        <w:keepLines w:val="0"/>
        <w:pageBreakBefore w:val="0"/>
        <w:overflowPunct/>
        <w:topLinePunct w:val="0"/>
        <w:bidi w:val="0"/>
        <w:spacing w:line="576" w:lineRule="exact"/>
        <w:ind w:left="0" w:leftChars="0"/>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责令改正违法行为决定书</w:t>
      </w:r>
    </w:p>
    <w:p w14:paraId="7549DFA2">
      <w:pPr>
        <w:keepNext w:val="0"/>
        <w:keepLines w:val="0"/>
        <w:pageBreakBefore w:val="0"/>
        <w:overflowPunct/>
        <w:topLinePunct w:val="0"/>
        <w:bidi w:val="0"/>
        <w:spacing w:line="576" w:lineRule="exact"/>
        <w:ind w:left="0" w:leftChars="0"/>
      </w:pPr>
    </w:p>
    <w:p w14:paraId="7060B270">
      <w:pPr>
        <w:keepNext w:val="0"/>
        <w:keepLines w:val="0"/>
        <w:pageBreakBefore w:val="0"/>
        <w:wordWrap w:val="0"/>
        <w:overflowPunct/>
        <w:topLinePunct w:val="0"/>
        <w:bidi w:val="0"/>
        <w:spacing w:line="576" w:lineRule="exact"/>
        <w:ind w:left="0" w:leftChars="0"/>
        <w:jc w:val="right"/>
        <w:rPr>
          <w:rFonts w:ascii="仿宋_GB2312" w:hAnsi="仿宋_GB2312" w:eastAsia="仿宋_GB2312" w:cs="仿宋_GB2312"/>
          <w:sz w:val="32"/>
          <w:szCs w:val="32"/>
        </w:rPr>
      </w:pPr>
      <w:r>
        <w:rPr>
          <w:rFonts w:hint="eastAsia" w:ascii="仿宋_GB2312" w:hAnsi="仿宋_GB2312" w:eastAsia="仿宋_GB2312" w:cs="仿宋_GB2312"/>
          <w:spacing w:val="-1"/>
          <w:sz w:val="32"/>
          <w:szCs w:val="32"/>
        </w:rPr>
        <w:t>江蓬环改〔202</w:t>
      </w:r>
      <w:r>
        <w:rPr>
          <w:rFonts w:hint="eastAsia" w:ascii="仿宋_GB2312" w:hAnsi="仿宋_GB2312" w:eastAsia="仿宋_GB2312" w:cs="仿宋_GB2312"/>
          <w:spacing w:val="-1"/>
          <w:sz w:val="32"/>
          <w:szCs w:val="32"/>
          <w:lang w:val="en-US" w:eastAsia="zh-CN"/>
        </w:rPr>
        <w:t>6</w:t>
      </w:r>
      <w:r>
        <w:rPr>
          <w:rFonts w:hint="eastAsia" w:ascii="仿宋_GB2312" w:hAnsi="仿宋_GB2312" w:eastAsia="仿宋_GB2312" w:cs="仿宋_GB2312"/>
          <w:spacing w:val="-1"/>
          <w:sz w:val="32"/>
          <w:szCs w:val="32"/>
        </w:rPr>
        <w:t>〕</w:t>
      </w:r>
      <w:r>
        <w:rPr>
          <w:rFonts w:hint="eastAsia" w:ascii="仿宋_GB2312" w:hAnsi="仿宋_GB2312" w:eastAsia="仿宋_GB2312" w:cs="仿宋_GB2312"/>
          <w:spacing w:val="-1"/>
          <w:sz w:val="32"/>
          <w:szCs w:val="32"/>
          <w:lang w:val="en-US" w:eastAsia="zh-CN"/>
        </w:rPr>
        <w:t>34</w:t>
      </w:r>
      <w:r>
        <w:rPr>
          <w:rFonts w:hint="eastAsia" w:ascii="仿宋_GB2312" w:hAnsi="仿宋_GB2312" w:eastAsia="仿宋_GB2312" w:cs="仿宋_GB2312"/>
          <w:spacing w:val="-1"/>
          <w:sz w:val="32"/>
          <w:szCs w:val="32"/>
        </w:rPr>
        <w:t>号</w:t>
      </w:r>
    </w:p>
    <w:p w14:paraId="3387A73F">
      <w:pPr>
        <w:keepNext w:val="0"/>
        <w:keepLines w:val="0"/>
        <w:pageBreakBefore w:val="0"/>
        <w:overflowPunct/>
        <w:topLinePunct w:val="0"/>
        <w:bidi w:val="0"/>
        <w:spacing w:line="576" w:lineRule="exact"/>
        <w:ind w:left="0" w:leftChars="0"/>
        <w:rPr>
          <w:rFonts w:ascii="仿宋_GB2312" w:hAnsi="仿宋_GB2312" w:eastAsia="仿宋_GB2312" w:cs="仿宋_GB2312"/>
          <w:sz w:val="32"/>
          <w:szCs w:val="32"/>
        </w:rPr>
      </w:pPr>
    </w:p>
    <w:p w14:paraId="0C99EDD5">
      <w:pPr>
        <w:keepNext w:val="0"/>
        <w:keepLines w:val="0"/>
        <w:pageBreakBefore w:val="0"/>
        <w:widowControl w:val="0"/>
        <w:shd w:val="clear" w:color="auto" w:fill="FFFFFF"/>
        <w:kinsoku/>
        <w:wordWrap/>
        <w:overflowPunct/>
        <w:topLinePunct w:val="0"/>
        <w:autoSpaceDE/>
        <w:autoSpaceDN/>
        <w:bidi w:val="0"/>
        <w:adjustRightInd w:val="0"/>
        <w:snapToGrid w:val="0"/>
        <w:spacing w:line="540" w:lineRule="exac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当事人</w:t>
      </w:r>
      <w:r>
        <w:rPr>
          <w:rFonts w:hint="default" w:ascii="仿宋_GB2312" w:eastAsia="仿宋_GB2312"/>
          <w:sz w:val="32"/>
          <w:szCs w:val="32"/>
          <w:lang w:val="en-US" w:eastAsia="zh-CN"/>
        </w:rPr>
        <w:t>：江门市蓬江区博达照明灯具厂</w:t>
      </w:r>
    </w:p>
    <w:p w14:paraId="1E0ACBF5">
      <w:pPr>
        <w:keepNext w:val="0"/>
        <w:keepLines w:val="0"/>
        <w:pageBreakBefore w:val="0"/>
        <w:widowControl w:val="0"/>
        <w:shd w:val="clear" w:color="auto" w:fill="FFFFFF"/>
        <w:kinsoku/>
        <w:wordWrap/>
        <w:overflowPunct/>
        <w:topLinePunct w:val="0"/>
        <w:autoSpaceDE/>
        <w:autoSpaceDN/>
        <w:bidi w:val="0"/>
        <w:adjustRightInd w:val="0"/>
        <w:snapToGrid w:val="0"/>
        <w:spacing w:line="540" w:lineRule="exact"/>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t>统一社会信用代码：92440703MA573WGQ0L</w:t>
      </w:r>
    </w:p>
    <w:p w14:paraId="0C051D8F">
      <w:pPr>
        <w:keepNext w:val="0"/>
        <w:keepLines w:val="0"/>
        <w:pageBreakBefore w:val="0"/>
        <w:widowControl w:val="0"/>
        <w:shd w:val="clear" w:color="auto" w:fill="FFFFFF"/>
        <w:kinsoku/>
        <w:wordWrap/>
        <w:overflowPunct/>
        <w:topLinePunct w:val="0"/>
        <w:autoSpaceDE/>
        <w:autoSpaceDN/>
        <w:bidi w:val="0"/>
        <w:adjustRightInd w:val="0"/>
        <w:snapToGrid w:val="0"/>
        <w:spacing w:line="540" w:lineRule="exact"/>
        <w:textAlignment w:val="auto"/>
        <w:rPr>
          <w:rFonts w:hint="default" w:ascii="仿宋_GB2312" w:eastAsia="仿宋_GB2312"/>
          <w:sz w:val="32"/>
          <w:szCs w:val="32"/>
          <w:lang w:val="en-US" w:eastAsia="zh-CN"/>
        </w:rPr>
      </w:pPr>
      <w:r>
        <w:rPr>
          <w:rFonts w:hint="default" w:ascii="仿宋_GB2312" w:eastAsia="仿宋_GB2312"/>
          <w:sz w:val="32"/>
          <w:szCs w:val="32"/>
          <w:lang w:val="en-US" w:eastAsia="zh-CN"/>
        </w:rPr>
        <w:t>地址：江门市蓬江区荷塘镇霞村工业区霞阳路34号之A1（信息申报制）</w:t>
      </w:r>
    </w:p>
    <w:p w14:paraId="3FE50E76">
      <w:pPr>
        <w:keepNext w:val="0"/>
        <w:keepLines w:val="0"/>
        <w:pageBreakBefore w:val="0"/>
        <w:widowControl w:val="0"/>
        <w:shd w:val="clear" w:color="auto" w:fill="FFFFFF"/>
        <w:kinsoku/>
        <w:wordWrap/>
        <w:overflowPunct/>
        <w:topLinePunct w:val="0"/>
        <w:autoSpaceDE/>
        <w:autoSpaceDN/>
        <w:bidi w:val="0"/>
        <w:adjustRightInd w:val="0"/>
        <w:snapToGrid w:val="0"/>
        <w:spacing w:line="540" w:lineRule="exac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经营者：王敏</w:t>
      </w:r>
    </w:p>
    <w:p w14:paraId="073A8B93">
      <w:pPr>
        <w:keepNext w:val="0"/>
        <w:keepLines w:val="0"/>
        <w:pageBreakBefore w:val="0"/>
        <w:widowControl w:val="0"/>
        <w:shd w:val="clear" w:color="auto" w:fill="FFFFFF"/>
        <w:kinsoku/>
        <w:wordWrap/>
        <w:overflowPunct/>
        <w:topLinePunct w:val="0"/>
        <w:autoSpaceDE/>
        <w:autoSpaceDN/>
        <w:bidi w:val="0"/>
        <w:adjustRightInd w:val="0"/>
        <w:snapToGrid w:val="0"/>
        <w:spacing w:line="540" w:lineRule="exact"/>
        <w:textAlignment w:val="auto"/>
        <w:rPr>
          <w:rFonts w:hint="eastAsia" w:ascii="仿宋_GB2312" w:eastAsia="仿宋_GB2312"/>
          <w:sz w:val="32"/>
          <w:szCs w:val="32"/>
          <w:lang w:val="en-US" w:eastAsia="zh-CN"/>
        </w:rPr>
      </w:pPr>
      <w:r>
        <w:rPr>
          <w:rFonts w:hint="eastAsia" w:ascii="仿宋_GB2312" w:eastAsia="仿宋_GB2312"/>
          <w:sz w:val="32"/>
          <w:szCs w:val="32"/>
          <w:lang w:val="en-US" w:eastAsia="zh-CN"/>
        </w:rPr>
        <w:t>身份证号码：51XXXXXXXXXXX10</w:t>
      </w:r>
    </w:p>
    <w:p w14:paraId="4A714FD5">
      <w:pPr>
        <w:keepNext w:val="0"/>
        <w:keepLines w:val="0"/>
        <w:pageBreakBefore w:val="0"/>
        <w:widowControl w:val="0"/>
        <w:shd w:val="clear" w:color="auto" w:fill="FFFFFF"/>
        <w:kinsoku/>
        <w:wordWrap/>
        <w:overflowPunct/>
        <w:topLinePunct w:val="0"/>
        <w:autoSpaceDE/>
        <w:autoSpaceDN/>
        <w:bidi w:val="0"/>
        <w:adjustRightInd w:val="0"/>
        <w:snapToGrid w:val="0"/>
        <w:spacing w:line="540" w:lineRule="exac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身份证住址：成都市XXXXXXXX号</w:t>
      </w:r>
    </w:p>
    <w:p w14:paraId="61E97131">
      <w:pPr>
        <w:keepNext w:val="0"/>
        <w:keepLines w:val="0"/>
        <w:pageBreakBefore w:val="0"/>
        <w:widowControl w:val="0"/>
        <w:kinsoku/>
        <w:wordWrap/>
        <w:overflowPunct/>
        <w:topLinePunct w:val="0"/>
        <w:autoSpaceDE/>
        <w:autoSpaceDN/>
        <w:bidi w:val="0"/>
        <w:adjustRightInd/>
        <w:snapToGrid/>
        <w:spacing w:line="576" w:lineRule="exact"/>
        <w:ind w:left="0" w:leftChars="0"/>
        <w:jc w:val="both"/>
        <w:textAlignment w:val="auto"/>
        <w:rPr>
          <w:rFonts w:hint="eastAsia" w:ascii="仿宋_GB2312" w:hAnsi="仿宋" w:eastAsia="仿宋_GB2312" w:cs="Calibri"/>
          <w:snapToGrid/>
          <w:kern w:val="2"/>
          <w:sz w:val="32"/>
          <w:szCs w:val="32"/>
          <w:highlight w:val="none"/>
          <w:lang w:val="en-US" w:eastAsia="zh-CN"/>
        </w:rPr>
      </w:pPr>
    </w:p>
    <w:p w14:paraId="0BFE7171">
      <w:pPr>
        <w:keepNext w:val="0"/>
        <w:keepLines w:val="0"/>
        <w:pageBreakBefore w:val="0"/>
        <w:overflowPunct/>
        <w:topLinePunct w:val="0"/>
        <w:autoSpaceDE/>
        <w:autoSpaceDN/>
        <w:bidi w:val="0"/>
        <w:spacing w:line="576" w:lineRule="exact"/>
        <w:ind w:left="0" w:leftChars="0" w:firstLine="672" w:firstLineChars="200"/>
        <w:rPr>
          <w:rFonts w:ascii="黑体" w:hAnsi="黑体" w:eastAsia="黑体" w:cs="黑体"/>
          <w:sz w:val="32"/>
          <w:szCs w:val="32"/>
        </w:rPr>
      </w:pPr>
      <w:r>
        <w:rPr>
          <w:rFonts w:ascii="黑体" w:hAnsi="黑体" w:eastAsia="黑体" w:cs="黑体"/>
          <w:spacing w:val="8"/>
          <w:position w:val="4"/>
          <w:sz w:val="32"/>
          <w:szCs w:val="32"/>
        </w:rPr>
        <w:t>一</w:t>
      </w:r>
      <w:r>
        <w:rPr>
          <w:rFonts w:ascii="黑体" w:hAnsi="黑体" w:eastAsia="黑体" w:cs="黑体"/>
          <w:spacing w:val="5"/>
          <w:position w:val="4"/>
          <w:sz w:val="32"/>
          <w:szCs w:val="32"/>
        </w:rPr>
        <w:t>、</w:t>
      </w:r>
      <w:r>
        <w:rPr>
          <w:rFonts w:ascii="黑体" w:hAnsi="黑体" w:eastAsia="黑体" w:cs="黑体"/>
          <w:spacing w:val="4"/>
          <w:position w:val="4"/>
          <w:sz w:val="32"/>
          <w:szCs w:val="32"/>
        </w:rPr>
        <w:t>环境违法事实和证据</w:t>
      </w:r>
    </w:p>
    <w:p w14:paraId="591F50EF">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2026年8月17日，我局执法人员对你（单位）进行检查，发现你（单位）存在以下环境违法行为：</w:t>
      </w:r>
    </w:p>
    <w:p w14:paraId="68318039">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你（单位）主要从事有色金属铸造项目，已取得《排污许可证》（证书编号：92440703MA573WGQ0L001U），根据其中内容显示，你（单位）熔融、压铸等工序产生的颗粒物、二氧化硫、氮氧化物、非甲烷总烃等污染物经过“水喷淋+二级活性炭吸附”废气治理设施处理后高空排放；另根据你（单位）提供的《检测报告》（报告编号：YJ202504405）及我局委托XX环境检测有限公司对你（单位）的废气排放口DA001排放的废气进行采样检测形成的《检测报告》[报告编号：（XX）环境检测</w:t>
      </w:r>
      <w:r>
        <w:rPr>
          <w:rFonts w:hint="eastAsia" w:ascii="仿宋_GB2312" w:hAnsi="仿宋" w:eastAsia="仿宋_GB2312" w:cs="Times New Roman"/>
          <w:snapToGrid/>
          <w:kern w:val="2"/>
          <w:sz w:val="32"/>
          <w:szCs w:val="32"/>
          <w:lang w:val="en-US" w:eastAsia="zh-CN"/>
        </w:rPr>
        <w:fldChar w:fldCharType="begin"/>
      </w:r>
      <w:r>
        <w:rPr>
          <w:rFonts w:hint="eastAsia" w:ascii="仿宋_GB2312" w:hAnsi="仿宋" w:eastAsia="仿宋_GB2312" w:cs="Times New Roman"/>
          <w:snapToGrid/>
          <w:kern w:val="2"/>
          <w:sz w:val="32"/>
          <w:szCs w:val="32"/>
          <w:lang w:val="en-US" w:eastAsia="zh-CN"/>
        </w:rPr>
        <w:instrText xml:space="preserve"> EQ \o\ac(○,委)</w:instrText>
      </w:r>
      <w:r>
        <w:rPr>
          <w:rFonts w:hint="eastAsia" w:ascii="仿宋_GB2312" w:hAnsi="仿宋" w:eastAsia="仿宋_GB2312" w:cs="Times New Roman"/>
          <w:snapToGrid/>
          <w:kern w:val="2"/>
          <w:sz w:val="32"/>
          <w:szCs w:val="32"/>
          <w:lang w:val="en-US" w:eastAsia="zh-CN"/>
        </w:rPr>
        <w:fldChar w:fldCharType="end"/>
      </w:r>
      <w:r>
        <w:rPr>
          <w:rFonts w:hint="eastAsia" w:ascii="仿宋_GB2312" w:hAnsi="仿宋" w:eastAsia="仿宋_GB2312" w:cs="Times New Roman"/>
          <w:snapToGrid/>
          <w:kern w:val="2"/>
          <w:sz w:val="32"/>
          <w:szCs w:val="32"/>
          <w:lang w:val="en-US" w:eastAsia="zh-CN"/>
        </w:rPr>
        <w:t>字（2026）第080107号]显示，你（单位）熔融、压铸工序的有组织排放口检出颗粒物和非甲烷总烃的污染因子。现场检查期间你（单位）熔融、压铸工序（1号、3号压铸机）正在生产，1号压铸机的废气收集管道未完全连接，废气治理设施未开启运行，风机及喷淋塔水泵电机叶轮未转动，熔融、压铸工序产生的部分废气未经处理直接通过敞开的车间大门无组织逸散。综上，你（单位）存在未按照排污许可证规定运行和维护污染防治设施，致使污染防治设施不能正常发挥作用的违法行为。</w:t>
      </w:r>
    </w:p>
    <w:p w14:paraId="2EB519D4">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2026年8月25日，我局执法人员对你（单位）进行复查，检查时你（单位）压铸工序正在生产，废气治理设施正常运行，1号压铸机的废气收集管道经改造已完全连接，即你（单位）已主动改正未按照排污许可证规定运行和维护污染防治设施，致使污染防治设施不能正常发挥作用的违法行为。</w:t>
      </w:r>
    </w:p>
    <w:p w14:paraId="34A82AB9">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以上事实，有以下主要证据证明：</w:t>
      </w:r>
    </w:p>
    <w:p w14:paraId="3C5777CB">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1.2026年8月17日江门市生态环境局执法人员现场检查所作的《江门市生态环境局蓬江分局现场检查（勘察）笔录》、2026年8月25日江门市生态环境局执法人员现场检查所作的《江门市生态环境局现场检查（勘察）记录》。</w:t>
      </w:r>
    </w:p>
    <w:p w14:paraId="02088AEB">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2.2026年8月17日江门市生态环境局执法人员调查询问所作的《江门市生态环境局调查询问笔录》、2026年8月17日江门市生态环境局执法人员调查询问所作的《江门市生态环境局蓬江分局调查询问笔录》。</w:t>
      </w:r>
    </w:p>
    <w:p w14:paraId="724CD985">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3.2026年8月17日、8月25日江门市生态环境局执法人员现场检查、调查询问时所拍摄的照片资料和视频资料。</w:t>
      </w:r>
    </w:p>
    <w:p w14:paraId="4DA4DC5B">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4.2026年8月17日</w:t>
      </w:r>
      <w:r>
        <w:rPr>
          <w:rFonts w:hint="default" w:ascii="仿宋_GB2312" w:hAnsi="仿宋" w:eastAsia="仿宋_GB2312" w:cs="Times New Roman"/>
          <w:snapToGrid/>
          <w:kern w:val="2"/>
          <w:sz w:val="32"/>
          <w:szCs w:val="32"/>
          <w:lang w:val="en-US" w:eastAsia="zh-CN"/>
        </w:rPr>
        <w:t>江门市蓬江区博达照明灯具厂</w:t>
      </w:r>
      <w:r>
        <w:rPr>
          <w:rFonts w:hint="eastAsia" w:ascii="仿宋_GB2312" w:hAnsi="仿宋" w:eastAsia="仿宋_GB2312" w:cs="Times New Roman"/>
          <w:snapToGrid/>
          <w:kern w:val="2"/>
          <w:sz w:val="32"/>
          <w:szCs w:val="32"/>
          <w:lang w:val="en-US" w:eastAsia="zh-CN"/>
        </w:rPr>
        <w:t>提供的《检测报告》（报告编号：YJ202504405）、《排污许可证》（证书编号：92440703MA573WGQ0L001U，副本节选）。</w:t>
      </w:r>
    </w:p>
    <w:p w14:paraId="667893F0">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default"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5.2026年9月7日江门市生态环境局执法人员接收的《检测报告》[报告编号：（XX）环境检测</w:t>
      </w:r>
      <w:r>
        <w:rPr>
          <w:rFonts w:hint="eastAsia" w:ascii="仿宋_GB2312" w:hAnsi="仿宋" w:eastAsia="仿宋_GB2312" w:cs="Times New Roman"/>
          <w:snapToGrid/>
          <w:kern w:val="2"/>
          <w:sz w:val="32"/>
          <w:szCs w:val="32"/>
          <w:lang w:val="en-US" w:eastAsia="zh-CN"/>
        </w:rPr>
        <w:fldChar w:fldCharType="begin"/>
      </w:r>
      <w:r>
        <w:rPr>
          <w:rFonts w:hint="eastAsia" w:ascii="仿宋_GB2312" w:hAnsi="仿宋" w:eastAsia="仿宋_GB2312" w:cs="Times New Roman"/>
          <w:snapToGrid/>
          <w:kern w:val="2"/>
          <w:sz w:val="32"/>
          <w:szCs w:val="32"/>
          <w:lang w:val="en-US" w:eastAsia="zh-CN"/>
        </w:rPr>
        <w:instrText xml:space="preserve"> EQ \o\ac(○,委)</w:instrText>
      </w:r>
      <w:r>
        <w:rPr>
          <w:rFonts w:hint="eastAsia" w:ascii="仿宋_GB2312" w:hAnsi="仿宋" w:eastAsia="仿宋_GB2312" w:cs="Times New Roman"/>
          <w:snapToGrid/>
          <w:kern w:val="2"/>
          <w:sz w:val="32"/>
          <w:szCs w:val="32"/>
          <w:lang w:val="en-US" w:eastAsia="zh-CN"/>
        </w:rPr>
        <w:fldChar w:fldCharType="end"/>
      </w:r>
      <w:r>
        <w:rPr>
          <w:rFonts w:hint="eastAsia" w:ascii="仿宋_GB2312" w:hAnsi="仿宋" w:eastAsia="仿宋_GB2312" w:cs="Times New Roman"/>
          <w:snapToGrid/>
          <w:kern w:val="2"/>
          <w:sz w:val="32"/>
          <w:szCs w:val="32"/>
          <w:lang w:val="en-US" w:eastAsia="zh-CN"/>
        </w:rPr>
        <w:t>字（2026）第080107号]及《XX环境检测有限公司报告签收回执单》、江门市生态环境局执法人员制作的《江门市生态环境局送达回执》。</w:t>
      </w:r>
    </w:p>
    <w:p w14:paraId="5EDC3F7D">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证据1、2、3、4、5证明一是你（单位）的主体信息、员工及经营者的身份信息；二是你（单位）主要从事有色金属铸造项目，已取得《排污许可证》（证书编号：92440703MA573WGQ0L001U），且《排污许可证》中要求你（单位）熔融、压铸等工序产生的颗粒物、二氧化硫、氮氧化物、非甲烷总烃等污染物需经过“水喷淋+二级活性炭吸附”废气治理设施处理后高空排放；三是2026年8月17日现场检查期间你（单位）熔融、压铸工序（1号、3号压铸机）正在生产，1号压铸机的废气收集管道未完全连接，废气治理设施未开启运行，风机及喷淋塔水泵电机叶轮未转动，熔融、压铸工序产生的部分废气未经处理直接通过敞开的车间大门无组织逸散，即你（单位）存在未按照排污许可证规定运行和维护污染防治设施，致使污染防治设施不能正常发挥作用违法行为的事实；四是我局委托XX环境检测有限公司对你（单位）的废气排放口DA001排放的废气进行采样检测，且检测结果显示你（单位）熔融、压铸工序的有组织排放口检出颗粒物和非甲烷总烃的污染因子以及我局已将检测结果送达你（单位）的事实；五是2026年8月25日复查时你单位已主动改正未按照排污许可证规定运行和维护污染防治设施，致使污染防治设施不能正常发挥作用违法行为的事实。</w:t>
      </w:r>
    </w:p>
    <w:p w14:paraId="5EF7585A">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6.2026年8月17日</w:t>
      </w:r>
      <w:r>
        <w:rPr>
          <w:rFonts w:hint="default" w:ascii="仿宋_GB2312" w:hAnsi="仿宋" w:eastAsia="仿宋_GB2312" w:cs="Times New Roman"/>
          <w:snapToGrid/>
          <w:kern w:val="2"/>
          <w:sz w:val="32"/>
          <w:szCs w:val="32"/>
          <w:lang w:val="en-US" w:eastAsia="zh-CN"/>
        </w:rPr>
        <w:t>江门市蓬江区博达照明灯具厂</w:t>
      </w:r>
      <w:r>
        <w:rPr>
          <w:rFonts w:hint="eastAsia" w:ascii="仿宋_GB2312" w:hAnsi="仿宋" w:eastAsia="仿宋_GB2312" w:cs="Times New Roman"/>
          <w:snapToGrid/>
          <w:kern w:val="2"/>
          <w:sz w:val="32"/>
          <w:szCs w:val="32"/>
          <w:lang w:val="en-US" w:eastAsia="zh-CN"/>
        </w:rPr>
        <w:t>提供的《授权委托书》一份。</w:t>
      </w:r>
    </w:p>
    <w:p w14:paraId="6C42AACB">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证据6证明你（单位）已授权苏X军（身份证号码：51XXXXXXX</w:t>
      </w:r>
      <w:bookmarkStart w:id="0" w:name="_GoBack"/>
      <w:bookmarkEnd w:id="0"/>
      <w:r>
        <w:rPr>
          <w:rFonts w:hint="eastAsia" w:ascii="仿宋_GB2312" w:hAnsi="仿宋" w:eastAsia="仿宋_GB2312" w:cs="Times New Roman"/>
          <w:snapToGrid/>
          <w:kern w:val="2"/>
          <w:sz w:val="32"/>
          <w:szCs w:val="32"/>
          <w:lang w:val="en-US" w:eastAsia="zh-CN"/>
        </w:rPr>
        <w:t>16）配合调查并签署执法文书及要求确认的证据材料。</w:t>
      </w:r>
    </w:p>
    <w:p w14:paraId="7BA60695">
      <w:pPr>
        <w:keepNext w:val="0"/>
        <w:keepLines w:val="0"/>
        <w:pageBreakBefore w:val="0"/>
        <w:widowControl w:val="0"/>
        <w:kinsoku/>
        <w:wordWrap/>
        <w:overflowPunct/>
        <w:topLinePunct w:val="0"/>
        <w:autoSpaceDE/>
        <w:autoSpaceDN/>
        <w:bidi w:val="0"/>
        <w:adjustRightInd w:val="0"/>
        <w:snapToGrid w:val="0"/>
        <w:spacing w:line="540" w:lineRule="exact"/>
        <w:ind w:left="0" w:leftChars="0" w:firstLine="640" w:firstLineChars="200"/>
        <w:jc w:val="both"/>
        <w:textAlignment w:val="auto"/>
        <w:rPr>
          <w:rFonts w:hint="eastAsia" w:ascii="仿宋_GB2312" w:hAnsi="仿宋" w:eastAsia="仿宋_GB2312" w:cs="Times New Roman"/>
          <w:snapToGrid/>
          <w:kern w:val="2"/>
          <w:sz w:val="32"/>
          <w:szCs w:val="32"/>
          <w:lang w:val="en-US" w:eastAsia="zh-CN"/>
        </w:rPr>
      </w:pPr>
      <w:r>
        <w:rPr>
          <w:rFonts w:hint="eastAsia" w:ascii="仿宋_GB2312" w:hAnsi="仿宋" w:eastAsia="仿宋_GB2312" w:cs="Times New Roman"/>
          <w:snapToGrid/>
          <w:kern w:val="2"/>
          <w:sz w:val="32"/>
          <w:szCs w:val="32"/>
          <w:lang w:val="en-US" w:eastAsia="zh-CN"/>
        </w:rPr>
        <w:t>7.2026年8月17日江门市生态环境局执法人员调查所作的《江门市生态环境局当事人送达地址确认书》。</w:t>
      </w:r>
      <w:r>
        <w:rPr>
          <w:rFonts w:hint="eastAsia" w:ascii="仿宋_GB2312" w:hAnsi="仿宋" w:eastAsia="仿宋_GB2312" w:cs="Times New Roman"/>
          <w:snapToGrid/>
          <w:kern w:val="2"/>
          <w:sz w:val="32"/>
          <w:szCs w:val="32"/>
          <w:lang w:val="en-US" w:eastAsia="zh-CN"/>
        </w:rPr>
        <w:br w:type="textWrapping"/>
      </w:r>
      <w:r>
        <w:rPr>
          <w:rFonts w:hint="eastAsia" w:ascii="仿宋_GB2312" w:hAnsi="仿宋" w:eastAsia="仿宋_GB2312" w:cs="Times New Roman"/>
          <w:snapToGrid/>
          <w:kern w:val="2"/>
          <w:sz w:val="32"/>
          <w:szCs w:val="32"/>
          <w:lang w:val="en-US" w:eastAsia="zh-CN"/>
        </w:rPr>
        <w:t xml:space="preserve">    证据7证明你（单位）已提供经确认过的送达地址和方式。</w:t>
      </w:r>
    </w:p>
    <w:p w14:paraId="35CC46B1">
      <w:pPr>
        <w:keepNext w:val="0"/>
        <w:keepLines w:val="0"/>
        <w:pageBreakBefore w:val="0"/>
        <w:widowControl w:val="0"/>
        <w:kinsoku/>
        <w:overflowPunct/>
        <w:topLinePunct w:val="0"/>
        <w:autoSpaceDE/>
        <w:autoSpaceDN/>
        <w:bidi w:val="0"/>
        <w:spacing w:line="576" w:lineRule="exact"/>
        <w:ind w:left="0" w:leftChars="0"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二、</w:t>
      </w:r>
      <w:r>
        <w:rPr>
          <w:rFonts w:hint="eastAsia" w:ascii="黑体" w:hAnsi="黑体" w:eastAsia="黑体" w:cs="黑体"/>
          <w:sz w:val="32"/>
          <w:szCs w:val="32"/>
        </w:rPr>
        <w:t>责令改正的依据、种类及其履行方式和期限</w:t>
      </w:r>
    </w:p>
    <w:p w14:paraId="094BFFB6">
      <w:pPr>
        <w:keepNext w:val="0"/>
        <w:keepLines w:val="0"/>
        <w:pageBreakBefore w:val="0"/>
        <w:overflowPunct/>
        <w:topLinePunct w:val="0"/>
        <w:autoSpaceDE/>
        <w:autoSpaceDN/>
        <w:bidi w:val="0"/>
        <w:spacing w:line="576" w:lineRule="exact"/>
        <w:ind w:left="0" w:leftChars="0" w:firstLine="640"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的上述行为，违反了</w:t>
      </w:r>
      <w:r>
        <w:rPr>
          <w:rFonts w:hint="eastAsia" w:ascii="仿宋_GB2312" w:hAnsi="仿宋_GB2312" w:eastAsia="仿宋_GB2312" w:cs="仿宋_GB2312"/>
          <w:sz w:val="32"/>
          <w:szCs w:val="32"/>
          <w:lang w:val="en-US" w:eastAsia="zh-CN"/>
        </w:rPr>
        <w:t>《中华人民共和国生态环境法典》第一百七十九条第二款“实行排污许可管理的企业事业单位和其他生产经营者应当遵守排污许可证的要求，按照规定运行和维护污染防治设施，建立生态环境管理制度，严格控制污染物排放。”</w:t>
      </w:r>
      <w:r>
        <w:rPr>
          <w:rFonts w:hint="eastAsia" w:ascii="仿宋_GB2312" w:hAnsi="仿宋_GB2312" w:eastAsia="仿宋_GB2312" w:cs="仿宋_GB2312"/>
          <w:sz w:val="32"/>
          <w:szCs w:val="32"/>
        </w:rPr>
        <w:t>的规定，</w:t>
      </w:r>
      <w:r>
        <w:rPr>
          <w:rFonts w:hint="eastAsia" w:ascii="仿宋_GB2312" w:hAnsi="仿宋_GB2312" w:eastAsia="仿宋_GB2312" w:cs="仿宋_GB2312"/>
          <w:sz w:val="32"/>
          <w:szCs w:val="32"/>
          <w:lang w:eastAsia="zh-CN"/>
        </w:rPr>
        <w:t>依据《中华人民共和国行政处罚法》第二十八条第一款“</w:t>
      </w:r>
      <w:r>
        <w:rPr>
          <w:rFonts w:hint="eastAsia" w:ascii="仿宋_GB2312" w:hAnsi="仿宋_GB2312" w:eastAsia="仿宋_GB2312" w:cs="仿宋_GB2312"/>
          <w:sz w:val="32"/>
          <w:szCs w:val="32"/>
          <w:lang w:val="en-US" w:eastAsia="zh-CN"/>
        </w:rPr>
        <w:t>机关实施行政处罚时，应当责令当事人改正或者限期改正违法行为。</w:t>
      </w:r>
      <w:r>
        <w:rPr>
          <w:rFonts w:hint="eastAsia" w:ascii="仿宋_GB2312" w:hAnsi="仿宋_GB2312" w:eastAsia="仿宋_GB2312" w:cs="仿宋_GB2312"/>
          <w:sz w:val="32"/>
          <w:szCs w:val="32"/>
          <w:lang w:eastAsia="zh-CN"/>
        </w:rPr>
        <w:t>”以及</w:t>
      </w:r>
      <w:r>
        <w:rPr>
          <w:rFonts w:hint="eastAsia" w:ascii="仿宋_GB2312" w:hAnsi="仿宋_GB2312" w:eastAsia="仿宋_GB2312" w:cs="仿宋_GB2312"/>
          <w:sz w:val="32"/>
          <w:szCs w:val="32"/>
          <w:lang w:val="en-US" w:eastAsia="zh-CN"/>
        </w:rPr>
        <w:t>《中华人民共和国生态环境法典》第一千一百零四条第一款</w:t>
      </w:r>
      <w:r>
        <w:rPr>
          <w:rFonts w:hint="eastAsia" w:ascii="仿宋_GB2312" w:hAnsi="仿宋_GB2312" w:eastAsia="仿宋_GB2312" w:cs="仿宋_GB2312"/>
          <w:sz w:val="32"/>
          <w:szCs w:val="32"/>
          <w:lang w:eastAsia="zh-CN"/>
        </w:rPr>
        <w:t>“违反本法规定，未按照排污许可证的规定运行和维护污染防治设施的，由生态环境主管部门责令改正，处二万元以上五万元以下的罚款；致使污染防治设施不能正常发挥作用，但不属于以逃避监管方式排放污染物的，由生态环境主管部门责令改正，处五万元以上二十万元以下的罚款；情节严重的，责令限制生产、停产整治。”</w:t>
      </w:r>
      <w:r>
        <w:rPr>
          <w:rFonts w:hint="eastAsia" w:ascii="仿宋_GB2312" w:hAnsi="仿宋_GB2312" w:eastAsia="仿宋_GB2312" w:cs="仿宋_GB2312"/>
          <w:sz w:val="32"/>
          <w:szCs w:val="32"/>
        </w:rPr>
        <w:t>的规定，</w:t>
      </w:r>
      <w:r>
        <w:rPr>
          <w:rFonts w:hint="eastAsia" w:ascii="仿宋_GB2312" w:hAnsi="仿宋_GB2312" w:eastAsia="仿宋_GB2312" w:cs="仿宋_GB2312"/>
          <w:b/>
          <w:bCs/>
          <w:sz w:val="32"/>
          <w:szCs w:val="32"/>
        </w:rPr>
        <w:t>我局责令你</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单位</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sz w:val="32"/>
          <w:szCs w:val="32"/>
        </w:rPr>
        <w:t>自收到本决定书之日起</w:t>
      </w:r>
      <w:r>
        <w:rPr>
          <w:rFonts w:hint="eastAsia" w:ascii="仿宋_GB2312" w:hAnsi="仿宋_GB2312" w:eastAsia="仿宋_GB2312" w:cs="仿宋_GB2312"/>
          <w:b/>
          <w:sz w:val="32"/>
          <w:szCs w:val="32"/>
          <w:lang w:val="en-US" w:eastAsia="zh-CN"/>
        </w:rPr>
        <w:t>立即改正</w:t>
      </w:r>
      <w:r>
        <w:rPr>
          <w:rFonts w:hint="eastAsia" w:ascii="仿宋_GB2312" w:hAnsi="仿宋_GB2312" w:eastAsia="仿宋_GB2312" w:cs="仿宋_GB2312"/>
          <w:b/>
          <w:sz w:val="32"/>
          <w:szCs w:val="32"/>
        </w:rPr>
        <w:t>未按照</w:t>
      </w:r>
      <w:r>
        <w:rPr>
          <w:rFonts w:hint="eastAsia" w:ascii="仿宋_GB2312" w:hAnsi="仿宋_GB2312" w:eastAsia="仿宋_GB2312" w:cs="仿宋_GB2312"/>
          <w:b/>
          <w:sz w:val="32"/>
          <w:szCs w:val="32"/>
          <w:lang w:eastAsia="zh-CN"/>
        </w:rPr>
        <w:t>排污许可证</w:t>
      </w:r>
      <w:r>
        <w:rPr>
          <w:rFonts w:hint="eastAsia" w:ascii="仿宋_GB2312" w:hAnsi="仿宋_GB2312" w:eastAsia="仿宋_GB2312" w:cs="仿宋_GB2312"/>
          <w:b/>
          <w:sz w:val="32"/>
          <w:szCs w:val="32"/>
        </w:rPr>
        <w:t>规定运行和维护污染防治设施致使污染防治设施不能正常发挥作用</w:t>
      </w:r>
      <w:r>
        <w:rPr>
          <w:rFonts w:hint="eastAsia" w:ascii="仿宋_GB2312" w:hAnsi="仿宋_GB2312" w:eastAsia="仿宋_GB2312" w:cs="仿宋_GB2312"/>
          <w:b/>
          <w:sz w:val="32"/>
          <w:szCs w:val="32"/>
          <w:lang w:val="en-US" w:eastAsia="zh-CN"/>
        </w:rPr>
        <w:t>的违法行为</w:t>
      </w:r>
      <w:r>
        <w:rPr>
          <w:rFonts w:hint="eastAsia" w:ascii="仿宋_GB2312" w:hAnsi="仿宋_GB2312" w:eastAsia="仿宋_GB2312" w:cs="仿宋_GB2312"/>
          <w:b/>
          <w:bCs/>
          <w:sz w:val="32"/>
          <w:szCs w:val="32"/>
        </w:rPr>
        <w:t>。</w:t>
      </w:r>
    </w:p>
    <w:p w14:paraId="1D2BCD29">
      <w:pPr>
        <w:keepNext w:val="0"/>
        <w:keepLines w:val="0"/>
        <w:pageBreakBefore w:val="0"/>
        <w:overflowPunct/>
        <w:topLinePunct w:val="0"/>
        <w:autoSpaceDE/>
        <w:autoSpaceDN/>
        <w:bidi w:val="0"/>
        <w:adjustRightInd w:val="0"/>
        <w:snapToGrid w:val="0"/>
        <w:spacing w:line="576" w:lineRule="exact"/>
        <w:ind w:left="0" w:leftChars="0"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如你（单位）拒不改正上述生态环境违法行为，我局将依法处理。</w:t>
      </w:r>
    </w:p>
    <w:p w14:paraId="0D6B70B2">
      <w:pPr>
        <w:keepNext w:val="0"/>
        <w:keepLines w:val="0"/>
        <w:pageBreakBefore w:val="0"/>
        <w:widowControl w:val="0"/>
        <w:kinsoku/>
        <w:overflowPunct/>
        <w:topLinePunct w:val="0"/>
        <w:autoSpaceDE/>
        <w:autoSpaceDN/>
        <w:bidi w:val="0"/>
        <w:spacing w:line="576" w:lineRule="exact"/>
        <w:ind w:left="0" w:leftChars="0" w:firstLine="640" w:firstLineChars="200"/>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三、</w:t>
      </w:r>
      <w:r>
        <w:rPr>
          <w:rFonts w:hint="eastAsia" w:ascii="黑体" w:hAnsi="黑体" w:eastAsia="黑体"/>
          <w:sz w:val="32"/>
          <w:szCs w:val="32"/>
        </w:rPr>
        <w:t>申请复议或者提起诉讼的途径和期限</w:t>
      </w:r>
    </w:p>
    <w:p w14:paraId="51F8730C">
      <w:pPr>
        <w:keepNext w:val="0"/>
        <w:keepLines w:val="0"/>
        <w:pageBreakBefore w:val="0"/>
        <w:widowControl w:val="0"/>
        <w:kinsoku/>
        <w:overflowPunct/>
        <w:topLinePunct w:val="0"/>
        <w:autoSpaceDE/>
        <w:autoSpaceDN/>
        <w:bidi w:val="0"/>
        <w:spacing w:line="576" w:lineRule="exact"/>
        <w:ind w:left="0" w:leftChars="0" w:firstLine="640" w:firstLineChars="200"/>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z w:val="32"/>
          <w:szCs w:val="32"/>
        </w:rPr>
        <w:t>根据《中华人民共和国行政复议法》第二十条和第二十四条第一款第一项以及《中华人民共和国行政诉讼法》第四十六条第一款的规定，如对本决定不服，可在收到本决定之日起六十日内向江门市人民政府提出行政复议申请，受理地址：江门市人民政府行政复议办公室，江门市蓬江区西园里中三号之一江门市人民政府西侧门；也可以在接到本处罚决定之日起六个月内依法直接向江门市</w:t>
      </w:r>
      <w:r>
        <w:rPr>
          <w:rFonts w:hint="eastAsia" w:ascii="仿宋_GB2312" w:hAnsi="仿宋_GB2312" w:eastAsia="仿宋_GB2312" w:cs="仿宋_GB2312"/>
          <w:sz w:val="32"/>
          <w:szCs w:val="32"/>
          <w:lang w:eastAsia="zh-CN"/>
        </w:rPr>
        <w:t>新会</w:t>
      </w:r>
      <w:r>
        <w:rPr>
          <w:rFonts w:hint="eastAsia" w:ascii="仿宋_GB2312" w:hAnsi="仿宋_GB2312" w:eastAsia="仿宋_GB2312" w:cs="仿宋_GB2312"/>
          <w:sz w:val="32"/>
          <w:szCs w:val="32"/>
        </w:rPr>
        <w:t>区人民法院提起行政诉讼。逾期不申请行政复议，也不向人民法院提起行政诉讼，又不履行本决定的，我局将依法申请人民法院强制执行。</w:t>
      </w:r>
    </w:p>
    <w:p w14:paraId="6F818342">
      <w:pPr>
        <w:keepNext w:val="0"/>
        <w:keepLines w:val="0"/>
        <w:pageBreakBefore w:val="0"/>
        <w:widowControl w:val="0"/>
        <w:kinsoku/>
        <w:overflowPunct/>
        <w:topLinePunct w:val="0"/>
        <w:autoSpaceDE/>
        <w:autoSpaceDN/>
        <w:bidi w:val="0"/>
        <w:spacing w:line="576" w:lineRule="exact"/>
        <w:ind w:left="947" w:leftChars="0" w:hanging="947" w:hangingChars="296"/>
        <w:textAlignment w:val="auto"/>
        <w:rPr>
          <w:rFonts w:hint="eastAsia" w:ascii="仿宋_GB2312" w:hAnsi="仿宋_GB2312" w:eastAsia="仿宋_GB2312" w:cs="仿宋_GB2312"/>
          <w:snapToGrid/>
          <w:kern w:val="2"/>
          <w:sz w:val="32"/>
          <w:szCs w:val="32"/>
        </w:rPr>
      </w:pPr>
    </w:p>
    <w:p w14:paraId="4234566B">
      <w:pPr>
        <w:keepNext w:val="0"/>
        <w:keepLines w:val="0"/>
        <w:pageBreakBefore w:val="0"/>
        <w:widowControl w:val="0"/>
        <w:kinsoku/>
        <w:overflowPunct/>
        <w:topLinePunct w:val="0"/>
        <w:autoSpaceDE/>
        <w:autoSpaceDN/>
        <w:bidi w:val="0"/>
        <w:spacing w:line="576" w:lineRule="exact"/>
        <w:ind w:left="945" w:leftChars="304" w:hanging="307" w:hangingChars="96"/>
        <w:textAlignment w:val="auto"/>
        <w:rPr>
          <w:rFonts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地址:江门市蓬江区胜利路154号珠西创谷自编1号楼5楼</w:t>
      </w:r>
    </w:p>
    <w:p w14:paraId="16D1F7A4">
      <w:pPr>
        <w:keepNext w:val="0"/>
        <w:keepLines w:val="0"/>
        <w:pageBreakBefore w:val="0"/>
        <w:widowControl w:val="0"/>
        <w:kinsoku/>
        <w:overflowPunct/>
        <w:topLinePunct w:val="0"/>
        <w:autoSpaceDE/>
        <w:autoSpaceDN/>
        <w:bidi w:val="0"/>
        <w:spacing w:line="576" w:lineRule="exact"/>
        <w:ind w:left="945" w:leftChars="304" w:hanging="307" w:hangingChars="96"/>
        <w:jc w:val="both"/>
        <w:textAlignment w:val="auto"/>
        <w:rPr>
          <w:rFonts w:hint="eastAsia" w:ascii="仿宋_GB2312" w:hAnsi="仿宋_GB2312" w:eastAsia="仿宋_GB2312" w:cs="仿宋_GB2312"/>
          <w:snapToGrid/>
          <w:kern w:val="2"/>
          <w:sz w:val="32"/>
          <w:szCs w:val="32"/>
        </w:rPr>
      </w:pPr>
      <w:r>
        <w:rPr>
          <w:rFonts w:hint="eastAsia" w:ascii="仿宋_GB2312" w:hAnsi="仿宋_GB2312" w:eastAsia="仿宋_GB2312" w:cs="仿宋_GB2312"/>
          <w:snapToGrid/>
          <w:kern w:val="2"/>
          <w:sz w:val="32"/>
          <w:szCs w:val="32"/>
        </w:rPr>
        <w:t>联系人：</w:t>
      </w:r>
      <w:r>
        <w:rPr>
          <w:rFonts w:hint="eastAsia" w:ascii="仿宋_GB2312" w:hAnsi="仿宋_GB2312" w:eastAsia="仿宋_GB2312" w:cs="仿宋_GB2312"/>
          <w:snapToGrid/>
          <w:kern w:val="2"/>
          <w:sz w:val="32"/>
          <w:szCs w:val="32"/>
          <w:lang w:val="en-US" w:eastAsia="zh-CN"/>
        </w:rPr>
        <w:t>李先生</w:t>
      </w:r>
      <w:r>
        <w:rPr>
          <w:rFonts w:hint="eastAsia" w:ascii="仿宋_GB2312" w:hAnsi="仿宋_GB2312" w:eastAsia="仿宋_GB2312" w:cs="仿宋_GB2312"/>
          <w:snapToGrid/>
          <w:kern w:val="2"/>
          <w:sz w:val="32"/>
          <w:szCs w:val="32"/>
        </w:rPr>
        <w:t>，联系电话：0750-3291707。</w:t>
      </w:r>
    </w:p>
    <w:p w14:paraId="44AD47CC">
      <w:pPr>
        <w:keepNext w:val="0"/>
        <w:keepLines w:val="0"/>
        <w:pageBreakBefore w:val="0"/>
        <w:widowControl w:val="0"/>
        <w:kinsoku/>
        <w:overflowPunct/>
        <w:topLinePunct w:val="0"/>
        <w:autoSpaceDE/>
        <w:autoSpaceDN/>
        <w:bidi w:val="0"/>
        <w:spacing w:line="576" w:lineRule="exact"/>
        <w:ind w:left="947" w:leftChars="0" w:hanging="947" w:hangingChars="296"/>
        <w:jc w:val="both"/>
        <w:textAlignment w:val="auto"/>
        <w:rPr>
          <w:rFonts w:hint="eastAsia" w:ascii="仿宋_GB2312" w:hAnsi="仿宋_GB2312" w:eastAsia="仿宋_GB2312" w:cs="仿宋_GB2312"/>
          <w:snapToGrid/>
          <w:kern w:val="2"/>
          <w:sz w:val="32"/>
          <w:szCs w:val="32"/>
        </w:rPr>
      </w:pPr>
    </w:p>
    <w:p w14:paraId="5346167C">
      <w:pPr>
        <w:keepNext w:val="0"/>
        <w:keepLines w:val="0"/>
        <w:pageBreakBefore w:val="0"/>
        <w:widowControl w:val="0"/>
        <w:kinsoku/>
        <w:overflowPunct/>
        <w:topLinePunct w:val="0"/>
        <w:autoSpaceDE/>
        <w:autoSpaceDN/>
        <w:bidi w:val="0"/>
        <w:spacing w:line="576" w:lineRule="exact"/>
        <w:ind w:left="947" w:leftChars="0" w:hanging="947" w:hangingChars="296"/>
        <w:jc w:val="both"/>
        <w:textAlignment w:val="auto"/>
        <w:rPr>
          <w:rFonts w:hint="eastAsia" w:ascii="仿宋_GB2312" w:hAnsi="仿宋_GB2312" w:eastAsia="仿宋_GB2312" w:cs="仿宋_GB2312"/>
          <w:snapToGrid/>
          <w:kern w:val="2"/>
          <w:sz w:val="32"/>
          <w:szCs w:val="32"/>
        </w:rPr>
      </w:pPr>
    </w:p>
    <w:p w14:paraId="18C824D6">
      <w:pPr>
        <w:keepNext w:val="0"/>
        <w:keepLines w:val="0"/>
        <w:pageBreakBefore w:val="0"/>
        <w:widowControl w:val="0"/>
        <w:kinsoku/>
        <w:wordWrap w:val="0"/>
        <w:overflowPunct/>
        <w:topLinePunct w:val="0"/>
        <w:autoSpaceDE/>
        <w:autoSpaceDN/>
        <w:bidi w:val="0"/>
        <w:spacing w:line="576" w:lineRule="exact"/>
        <w:ind w:left="0" w:leftChars="0"/>
        <w:jc w:val="right"/>
        <w:textAlignment w:val="auto"/>
        <w:rPr>
          <w:rFonts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 xml:space="preserve">江门市生态环境局    </w:t>
      </w:r>
    </w:p>
    <w:p w14:paraId="71F0C020">
      <w:pPr>
        <w:keepNext w:val="0"/>
        <w:keepLines w:val="0"/>
        <w:pageBreakBefore w:val="0"/>
        <w:widowControl w:val="0"/>
        <w:kinsoku/>
        <w:wordWrap w:val="0"/>
        <w:overflowPunct/>
        <w:topLinePunct w:val="0"/>
        <w:autoSpaceDE/>
        <w:autoSpaceDN/>
        <w:bidi w:val="0"/>
        <w:spacing w:line="576" w:lineRule="exact"/>
        <w:ind w:left="0" w:leftChars="0"/>
        <w:jc w:val="right"/>
        <w:textAlignment w:val="auto"/>
        <w:rPr>
          <w:rFonts w:hint="eastAsia" w:ascii="仿宋_GB2312" w:hAnsi="仿宋" w:eastAsia="仿宋_GB2312" w:cs="Times New Roman"/>
          <w:snapToGrid/>
          <w:kern w:val="2"/>
          <w:sz w:val="32"/>
          <w:szCs w:val="32"/>
        </w:rPr>
      </w:pPr>
      <w:r>
        <w:rPr>
          <w:rFonts w:hint="eastAsia" w:ascii="仿宋_GB2312" w:hAnsi="仿宋" w:eastAsia="仿宋_GB2312" w:cs="Times New Roman"/>
          <w:snapToGrid/>
          <w:kern w:val="2"/>
          <w:sz w:val="32"/>
          <w:szCs w:val="32"/>
        </w:rPr>
        <w:t>202</w:t>
      </w:r>
      <w:r>
        <w:rPr>
          <w:rFonts w:hint="eastAsia" w:ascii="仿宋_GB2312" w:hAnsi="仿宋" w:eastAsia="仿宋_GB2312" w:cs="Times New Roman"/>
          <w:snapToGrid/>
          <w:kern w:val="2"/>
          <w:sz w:val="32"/>
          <w:szCs w:val="32"/>
          <w:lang w:val="en-US" w:eastAsia="zh-CN"/>
        </w:rPr>
        <w:t>6</w:t>
      </w:r>
      <w:r>
        <w:rPr>
          <w:rFonts w:hint="eastAsia" w:ascii="仿宋_GB2312" w:hAnsi="仿宋" w:eastAsia="仿宋_GB2312" w:cs="Times New Roman"/>
          <w:snapToGrid/>
          <w:kern w:val="2"/>
          <w:sz w:val="32"/>
          <w:szCs w:val="32"/>
        </w:rPr>
        <w:t>年</w:t>
      </w:r>
      <w:r>
        <w:rPr>
          <w:rFonts w:hint="eastAsia" w:ascii="仿宋_GB2312" w:hAnsi="仿宋" w:eastAsia="仿宋_GB2312" w:cs="Times New Roman"/>
          <w:snapToGrid/>
          <w:kern w:val="2"/>
          <w:sz w:val="32"/>
          <w:szCs w:val="32"/>
          <w:lang w:val="en-US" w:eastAsia="zh-CN"/>
        </w:rPr>
        <w:t>9</w:t>
      </w:r>
      <w:r>
        <w:rPr>
          <w:rFonts w:hint="eastAsia" w:ascii="仿宋_GB2312" w:hAnsi="仿宋" w:eastAsia="仿宋_GB2312" w:cs="Times New Roman"/>
          <w:snapToGrid/>
          <w:kern w:val="2"/>
          <w:sz w:val="32"/>
          <w:szCs w:val="32"/>
        </w:rPr>
        <w:t>月</w:t>
      </w:r>
      <w:r>
        <w:rPr>
          <w:rFonts w:hint="eastAsia" w:ascii="仿宋_GB2312" w:hAnsi="仿宋" w:eastAsia="仿宋_GB2312" w:cs="Times New Roman"/>
          <w:snapToGrid/>
          <w:kern w:val="2"/>
          <w:sz w:val="32"/>
          <w:szCs w:val="32"/>
          <w:lang w:val="en-US" w:eastAsia="zh-CN"/>
        </w:rPr>
        <w:t>21</w:t>
      </w:r>
      <w:r>
        <w:rPr>
          <w:rFonts w:hint="eastAsia" w:ascii="仿宋_GB2312" w:hAnsi="仿宋" w:eastAsia="仿宋_GB2312" w:cs="Times New Roman"/>
          <w:snapToGrid/>
          <w:kern w:val="2"/>
          <w:sz w:val="32"/>
          <w:szCs w:val="32"/>
        </w:rPr>
        <w:t xml:space="preserve">日    </w:t>
      </w:r>
    </w:p>
    <w:p w14:paraId="0FBBE082">
      <w:pPr>
        <w:keepNext w:val="0"/>
        <w:keepLines w:val="0"/>
        <w:pageBreakBefore w:val="0"/>
        <w:widowControl w:val="0"/>
        <w:kinsoku/>
        <w:wordWrap/>
        <w:overflowPunct/>
        <w:topLinePunct w:val="0"/>
        <w:autoSpaceDE/>
        <w:autoSpaceDN/>
        <w:bidi w:val="0"/>
        <w:spacing w:line="576" w:lineRule="exact"/>
        <w:ind w:left="0" w:leftChars="0"/>
        <w:jc w:val="right"/>
        <w:textAlignment w:val="auto"/>
        <w:rPr>
          <w:rFonts w:hint="eastAsia" w:ascii="仿宋_GB2312" w:hAnsi="仿宋" w:eastAsia="仿宋_GB2312" w:cs="Times New Roman"/>
          <w:snapToGrid/>
          <w:kern w:val="2"/>
          <w:sz w:val="32"/>
          <w:szCs w:val="32"/>
        </w:rPr>
      </w:pPr>
    </w:p>
    <w:p w14:paraId="2C7E1DD4">
      <w:pPr>
        <w:keepNext w:val="0"/>
        <w:keepLines w:val="0"/>
        <w:pageBreakBefore w:val="0"/>
        <w:widowControl w:val="0"/>
        <w:kinsoku/>
        <w:wordWrap/>
        <w:overflowPunct/>
        <w:topLinePunct w:val="0"/>
        <w:autoSpaceDE/>
        <w:autoSpaceDN/>
        <w:bidi w:val="0"/>
        <w:spacing w:line="576" w:lineRule="exact"/>
        <w:ind w:left="0" w:leftChars="0"/>
        <w:jc w:val="right"/>
        <w:textAlignment w:val="auto"/>
        <w:rPr>
          <w:rFonts w:hint="eastAsia" w:ascii="仿宋_GB2312" w:hAnsi="仿宋" w:eastAsia="仿宋_GB2312" w:cs="Times New Roman"/>
          <w:snapToGrid/>
          <w:kern w:val="2"/>
          <w:sz w:val="32"/>
          <w:szCs w:val="32"/>
        </w:rPr>
      </w:pPr>
    </w:p>
    <w:p w14:paraId="225A603B">
      <w:pPr>
        <w:keepNext w:val="0"/>
        <w:keepLines w:val="0"/>
        <w:pageBreakBefore w:val="0"/>
        <w:widowControl w:val="0"/>
        <w:kinsoku/>
        <w:wordWrap/>
        <w:overflowPunct/>
        <w:topLinePunct w:val="0"/>
        <w:autoSpaceDE/>
        <w:autoSpaceDN/>
        <w:bidi w:val="0"/>
        <w:spacing w:line="576" w:lineRule="exact"/>
        <w:ind w:left="0" w:leftChars="0"/>
        <w:jc w:val="right"/>
        <w:textAlignment w:val="auto"/>
        <w:rPr>
          <w:rFonts w:hint="eastAsia" w:ascii="仿宋_GB2312" w:hAnsi="仿宋" w:eastAsia="仿宋_GB2312" w:cs="Times New Roman"/>
          <w:snapToGrid/>
          <w:kern w:val="2"/>
          <w:sz w:val="32"/>
          <w:szCs w:val="32"/>
        </w:rPr>
      </w:pPr>
    </w:p>
    <w:p w14:paraId="3FF67B23">
      <w:pPr>
        <w:keepNext w:val="0"/>
        <w:keepLines w:val="0"/>
        <w:pageBreakBefore w:val="0"/>
        <w:widowControl w:val="0"/>
        <w:kinsoku/>
        <w:wordWrap/>
        <w:overflowPunct/>
        <w:topLinePunct w:val="0"/>
        <w:autoSpaceDE/>
        <w:autoSpaceDN/>
        <w:bidi w:val="0"/>
        <w:spacing w:line="576" w:lineRule="exact"/>
        <w:ind w:left="0" w:leftChars="0"/>
        <w:jc w:val="right"/>
        <w:textAlignment w:val="auto"/>
        <w:rPr>
          <w:rFonts w:hint="eastAsia" w:ascii="仿宋_GB2312" w:hAnsi="仿宋" w:eastAsia="仿宋_GB2312" w:cs="Times New Roman"/>
          <w:snapToGrid/>
          <w:kern w:val="2"/>
          <w:sz w:val="32"/>
          <w:szCs w:val="32"/>
        </w:rPr>
      </w:pPr>
    </w:p>
    <w:p w14:paraId="1F225C00">
      <w:pPr>
        <w:keepNext w:val="0"/>
        <w:keepLines w:val="0"/>
        <w:pageBreakBefore w:val="0"/>
        <w:widowControl w:val="0"/>
        <w:kinsoku/>
        <w:wordWrap/>
        <w:overflowPunct/>
        <w:topLinePunct w:val="0"/>
        <w:autoSpaceDE/>
        <w:autoSpaceDN/>
        <w:bidi w:val="0"/>
        <w:spacing w:line="576" w:lineRule="exact"/>
        <w:ind w:left="0" w:leftChars="0"/>
        <w:jc w:val="right"/>
        <w:textAlignment w:val="auto"/>
        <w:rPr>
          <w:rFonts w:hint="eastAsia" w:ascii="仿宋_GB2312" w:hAnsi="仿宋" w:eastAsia="仿宋_GB2312" w:cs="Times New Roman"/>
          <w:snapToGrid/>
          <w:kern w:val="2"/>
          <w:sz w:val="32"/>
          <w:szCs w:val="32"/>
        </w:rPr>
      </w:pPr>
    </w:p>
    <w:p w14:paraId="029B906E">
      <w:pPr>
        <w:keepNext w:val="0"/>
        <w:keepLines w:val="0"/>
        <w:pageBreakBefore w:val="0"/>
        <w:widowControl w:val="0"/>
        <w:kinsoku/>
        <w:wordWrap/>
        <w:overflowPunct/>
        <w:topLinePunct w:val="0"/>
        <w:autoSpaceDE/>
        <w:autoSpaceDN/>
        <w:bidi w:val="0"/>
        <w:spacing w:line="576" w:lineRule="exact"/>
        <w:ind w:left="0" w:leftChars="0"/>
        <w:jc w:val="right"/>
        <w:textAlignment w:val="auto"/>
        <w:rPr>
          <w:rFonts w:hint="eastAsia" w:ascii="仿宋_GB2312" w:hAnsi="仿宋" w:eastAsia="仿宋_GB2312" w:cs="Times New Roman"/>
          <w:snapToGrid/>
          <w:kern w:val="2"/>
          <w:sz w:val="32"/>
          <w:szCs w:val="32"/>
        </w:rPr>
      </w:pPr>
    </w:p>
    <w:p w14:paraId="3749B3BA">
      <w:pPr>
        <w:keepNext w:val="0"/>
        <w:keepLines w:val="0"/>
        <w:pageBreakBefore w:val="0"/>
        <w:widowControl w:val="0"/>
        <w:kinsoku/>
        <w:wordWrap/>
        <w:overflowPunct/>
        <w:topLinePunct w:val="0"/>
        <w:autoSpaceDE/>
        <w:autoSpaceDN/>
        <w:bidi w:val="0"/>
        <w:spacing w:line="576" w:lineRule="exact"/>
        <w:ind w:left="0" w:leftChars="0"/>
        <w:jc w:val="right"/>
        <w:textAlignment w:val="auto"/>
        <w:rPr>
          <w:rFonts w:hint="eastAsia" w:ascii="仿宋_GB2312" w:hAnsi="仿宋" w:eastAsia="仿宋_GB2312" w:cs="Times New Roman"/>
          <w:snapToGrid/>
          <w:kern w:val="2"/>
          <w:sz w:val="32"/>
          <w:szCs w:val="32"/>
        </w:rPr>
      </w:pPr>
    </w:p>
    <w:p w14:paraId="14D1F323">
      <w:pPr>
        <w:keepNext w:val="0"/>
        <w:keepLines w:val="0"/>
        <w:pageBreakBefore w:val="0"/>
        <w:widowControl w:val="0"/>
        <w:kinsoku/>
        <w:wordWrap/>
        <w:overflowPunct/>
        <w:topLinePunct w:val="0"/>
        <w:autoSpaceDE/>
        <w:autoSpaceDN/>
        <w:bidi w:val="0"/>
        <w:spacing w:line="576" w:lineRule="exact"/>
        <w:ind w:left="0" w:leftChars="0"/>
        <w:jc w:val="right"/>
        <w:textAlignment w:val="auto"/>
        <w:rPr>
          <w:rFonts w:hint="eastAsia" w:ascii="仿宋_GB2312" w:hAnsi="仿宋" w:eastAsia="仿宋_GB2312" w:cs="Times New Roman"/>
          <w:snapToGrid/>
          <w:kern w:val="2"/>
          <w:sz w:val="32"/>
          <w:szCs w:val="32"/>
        </w:rPr>
      </w:pPr>
    </w:p>
    <w:p w14:paraId="662FFEAC">
      <w:pPr>
        <w:keepNext w:val="0"/>
        <w:keepLines w:val="0"/>
        <w:pageBreakBefore w:val="0"/>
        <w:widowControl w:val="0"/>
        <w:kinsoku/>
        <w:wordWrap/>
        <w:overflowPunct/>
        <w:topLinePunct w:val="0"/>
        <w:autoSpaceDE/>
        <w:autoSpaceDN/>
        <w:bidi w:val="0"/>
        <w:spacing w:line="576" w:lineRule="exact"/>
        <w:ind w:left="0" w:leftChars="0"/>
        <w:jc w:val="right"/>
        <w:textAlignment w:val="auto"/>
        <w:rPr>
          <w:rFonts w:hint="eastAsia" w:ascii="仿宋_GB2312" w:hAnsi="仿宋" w:eastAsia="仿宋_GB2312" w:cs="Times New Roman"/>
          <w:snapToGrid/>
          <w:kern w:val="2"/>
          <w:sz w:val="32"/>
          <w:szCs w:val="32"/>
        </w:rPr>
      </w:pPr>
    </w:p>
    <w:tbl>
      <w:tblPr>
        <w:tblStyle w:val="4"/>
        <w:tblpPr w:leftFromText="180" w:rightFromText="180" w:vertAnchor="text" w:horzAnchor="page" w:tblpX="1516" w:tblpY="177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123"/>
      </w:tblGrid>
      <w:tr w14:paraId="003861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9123" w:type="dxa"/>
            <w:tcBorders>
              <w:top w:val="single" w:color="auto" w:sz="4" w:space="0"/>
              <w:left w:val="nil"/>
              <w:bottom w:val="single" w:color="auto" w:sz="4" w:space="0"/>
              <w:right w:val="nil"/>
            </w:tcBorders>
          </w:tcPr>
          <w:p w14:paraId="583A245F">
            <w:pPr>
              <w:spacing w:line="540" w:lineRule="exact"/>
              <w:ind w:left="960" w:hanging="960" w:hangingChars="300"/>
              <w:rPr>
                <w:rFonts w:ascii="仿宋_GB2312" w:hAnsi="仿宋_GB2312" w:eastAsia="仿宋_GB2312" w:cs="仿宋_GB2312"/>
                <w:sz w:val="32"/>
                <w:szCs w:val="32"/>
              </w:rPr>
            </w:pPr>
            <w:r>
              <w:rPr>
                <w:rFonts w:hint="eastAsia" w:ascii="仿宋_GB2312" w:hAnsi="仿宋_GB2312" w:eastAsia="仿宋_GB2312" w:cs="仿宋_GB2312"/>
                <w:sz w:val="32"/>
                <w:szCs w:val="32"/>
              </w:rPr>
              <w:t>抄送：</w:t>
            </w:r>
            <w:r>
              <w:rPr>
                <w:rFonts w:hint="eastAsia" w:ascii="仿宋_GB2312" w:hAnsi="仿宋_GB2312" w:eastAsia="仿宋_GB2312" w:cs="仿宋_GB2312"/>
                <w:sz w:val="32"/>
                <w:szCs w:val="32"/>
                <w:lang w:eastAsia="zh-CN"/>
              </w:rPr>
              <w:t>荷塘</w:t>
            </w:r>
            <w:r>
              <w:rPr>
                <w:rFonts w:hint="eastAsia" w:ascii="仿宋_GB2312" w:hAnsi="仿宋_GB2312" w:eastAsia="仿宋_GB2312" w:cs="仿宋_GB2312"/>
                <w:sz w:val="32"/>
                <w:szCs w:val="32"/>
              </w:rPr>
              <w:t>镇人民政府</w:t>
            </w:r>
          </w:p>
        </w:tc>
      </w:tr>
    </w:tbl>
    <w:p w14:paraId="34F24191">
      <w:pPr>
        <w:spacing w:line="20" w:lineRule="exact"/>
      </w:pPr>
    </w:p>
    <w:sectPr>
      <w:footerReference r:id="rId3" w:type="default"/>
      <w:pgSz w:w="11906" w:h="16838"/>
      <w:pgMar w:top="2098" w:right="1588" w:bottom="1984"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文鼎CS大宋">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D7BEE">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-352425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87A140">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27.75pt;height:144pt;width:144pt;mso-position-horizontal:outside;mso-position-horizontal-relative:margin;mso-wrap-style:none;z-index:251659264;mso-width-relative:page;mso-height-relative:page;" filled="f" stroked="f" coordsize="21600,21600" o:gfxdata="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qzm1v1gAAAAgBAAAPAAAAAAAAAAEAIAAAACIAAABkcnMvZG93bnJldi54bWxQSwECFAAU&#10;AAAACACHTuJAFwyJuCwCAABVBAAADgAAAAAAAAABACAAAAAlAQAAZHJzL2Uyb0RvYy54bWxQSwUG&#10;AAAAAAYABgBZAQAAwwUAAAAA&#10;">
              <v:fill on="f" focussize="0,0"/>
              <v:stroke on="f" weight="0.5pt"/>
              <v:imagedata o:title=""/>
              <o:lock v:ext="edit" aspectratio="f"/>
              <v:textbox inset="0mm,0mm,0mm,0mm" style="mso-fit-shape-to-text:t;">
                <w:txbxContent>
                  <w:p w14:paraId="1987A140">
                    <w:pPr>
                      <w:pStyle w:val="2"/>
                    </w:pPr>
                    <w:r>
                      <w:rPr>
                        <w:rFonts w:ascii="Times New Roman" w:hAnsi="Times New Roman" w:cs="Times New Roman"/>
                        <w:sz w:val="24"/>
                        <w:szCs w:val="32"/>
                      </w:rPr>
                      <w:fldChar w:fldCharType="begin"/>
                    </w:r>
                    <w:r>
                      <w:rPr>
                        <w:rFonts w:ascii="Times New Roman" w:hAnsi="Times New Roman" w:cs="Times New Roman"/>
                        <w:sz w:val="24"/>
                        <w:szCs w:val="32"/>
                      </w:rPr>
                      <w:instrText xml:space="preserve"> PAGE  \* MERGEFORMAT </w:instrText>
                    </w:r>
                    <w:r>
                      <w:rPr>
                        <w:rFonts w:ascii="Times New Roman" w:hAnsi="Times New Roman" w:cs="Times New Roman"/>
                        <w:sz w:val="24"/>
                        <w:szCs w:val="32"/>
                      </w:rPr>
                      <w:fldChar w:fldCharType="separate"/>
                    </w:r>
                    <w:r>
                      <w:rPr>
                        <w:rFonts w:ascii="Times New Roman" w:hAnsi="Times New Roman" w:cs="Times New Roman"/>
                        <w:sz w:val="24"/>
                        <w:szCs w:val="32"/>
                      </w:rPr>
                      <w:t>- 2 -</w:t>
                    </w:r>
                    <w:r>
                      <w:rPr>
                        <w:rFonts w:ascii="Times New Roman" w:hAnsi="Times New Roman" w:cs="Times New Roman"/>
                        <w:sz w:val="24"/>
                        <w:szCs w:val="3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2NTAyOGM4YjZjZmI2YTIzYjdhOGUzODRiNzI3OGQifQ=="/>
  </w:docVars>
  <w:rsids>
    <w:rsidRoot w:val="743A2544"/>
    <w:rsid w:val="0016785E"/>
    <w:rsid w:val="00197E1D"/>
    <w:rsid w:val="00BE19AB"/>
    <w:rsid w:val="01235181"/>
    <w:rsid w:val="02990117"/>
    <w:rsid w:val="046441B2"/>
    <w:rsid w:val="04C341BF"/>
    <w:rsid w:val="08B9254E"/>
    <w:rsid w:val="09E153CF"/>
    <w:rsid w:val="0A8850B7"/>
    <w:rsid w:val="0C140AA3"/>
    <w:rsid w:val="0C770293"/>
    <w:rsid w:val="0D86073D"/>
    <w:rsid w:val="0D9A551F"/>
    <w:rsid w:val="0F450E31"/>
    <w:rsid w:val="0FC84B7C"/>
    <w:rsid w:val="11221756"/>
    <w:rsid w:val="1283507E"/>
    <w:rsid w:val="13D74BE2"/>
    <w:rsid w:val="195C0081"/>
    <w:rsid w:val="1A0E3D02"/>
    <w:rsid w:val="1A610736"/>
    <w:rsid w:val="1C174DF4"/>
    <w:rsid w:val="1D413EF5"/>
    <w:rsid w:val="1ED876CB"/>
    <w:rsid w:val="1F635C48"/>
    <w:rsid w:val="2069210E"/>
    <w:rsid w:val="22CF5092"/>
    <w:rsid w:val="24451297"/>
    <w:rsid w:val="24B73297"/>
    <w:rsid w:val="252B3F15"/>
    <w:rsid w:val="257B169F"/>
    <w:rsid w:val="2624159B"/>
    <w:rsid w:val="269079C8"/>
    <w:rsid w:val="26E760A0"/>
    <w:rsid w:val="29B208FE"/>
    <w:rsid w:val="2CA925C6"/>
    <w:rsid w:val="2E43075E"/>
    <w:rsid w:val="2E5A20EC"/>
    <w:rsid w:val="2E96749D"/>
    <w:rsid w:val="2EC851B9"/>
    <w:rsid w:val="33C111F0"/>
    <w:rsid w:val="369D539E"/>
    <w:rsid w:val="371A0E96"/>
    <w:rsid w:val="37B67B3F"/>
    <w:rsid w:val="386B0EA1"/>
    <w:rsid w:val="38835CC1"/>
    <w:rsid w:val="406940E1"/>
    <w:rsid w:val="42DC2BE8"/>
    <w:rsid w:val="475A6BFF"/>
    <w:rsid w:val="521E7FBD"/>
    <w:rsid w:val="52447D6E"/>
    <w:rsid w:val="53C048A9"/>
    <w:rsid w:val="541F3870"/>
    <w:rsid w:val="583919BB"/>
    <w:rsid w:val="5A106171"/>
    <w:rsid w:val="5A6C5E26"/>
    <w:rsid w:val="5D327901"/>
    <w:rsid w:val="5D697A38"/>
    <w:rsid w:val="645D370F"/>
    <w:rsid w:val="65882DCF"/>
    <w:rsid w:val="65941F91"/>
    <w:rsid w:val="729279F7"/>
    <w:rsid w:val="73932A8C"/>
    <w:rsid w:val="73BB3DD7"/>
    <w:rsid w:val="743A25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2581</Words>
  <Characters>2830</Characters>
  <Lines>6</Lines>
  <Paragraphs>1</Paragraphs>
  <TotalTime>7</TotalTime>
  <ScaleCrop>false</ScaleCrop>
  <LinksUpToDate>false</LinksUpToDate>
  <CharactersWithSpaces>2842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2023-03-31T02:23:00Z</dcterms:created>
  <dc:creator>永乐大大帝</dc:creator>
  <cp:lastModifiedBy>简某某</cp:lastModifiedBy>
  <cp:lastPrinted>2023-06-08T02:33:00Z</cp:lastPrinted>
  <dcterms:modified xsi:type="dcterms:W3CDTF">2026-09-29T01:53:55Z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FDA9FF1EB42A42CF8974B3E474911862_11</vt:lpwstr>
  </property>
  <property fmtid="{D5CDD505-2E9C-101B-9397-08002B2CF9AE}" pid="4" name="KSOTemplateDocerSaveRecord">
    <vt:lpwstr>eyJoZGlkIjoiMDY0ZTQxMGVlNzJhOWYyYTI4MmViYmVkMzAzZDc0OGEiLCJ1c2VySWQiOiI0MDk5NTExMDEifQ==</vt:lpwstr>
  </property>
</Properties>
</file>