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关于</w:t>
      </w:r>
      <w:r w:rsidRPr="007D62E2">
        <w:rPr>
          <w:rFonts w:hint="eastAsia"/>
          <w:b/>
          <w:sz w:val="36"/>
          <w:szCs w:val="36"/>
        </w:rPr>
        <w:t>201</w:t>
      </w:r>
      <w:r w:rsidR="00554743">
        <w:rPr>
          <w:rFonts w:hint="eastAsia"/>
          <w:b/>
          <w:sz w:val="36"/>
          <w:szCs w:val="36"/>
        </w:rPr>
        <w:t>6</w:t>
      </w:r>
      <w:r w:rsidRPr="007D62E2">
        <w:rPr>
          <w:rFonts w:hint="eastAsia"/>
          <w:b/>
          <w:sz w:val="36"/>
          <w:szCs w:val="36"/>
        </w:rPr>
        <w:t>年蓬江区本级</w:t>
      </w:r>
    </w:p>
    <w:p w:rsidR="00D61E92" w:rsidRP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一般公共预算支出的说明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、一般公共服务支出24525万元，同比增长</w:t>
      </w:r>
      <w:r>
        <w:rPr>
          <w:rFonts w:ascii="仿宋" w:eastAsia="仿宋" w:hAnsi="仿宋" w:cs="仿宋"/>
          <w:sz w:val="32"/>
          <w:szCs w:val="32"/>
        </w:rPr>
        <w:t>7.19%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、国防支出505万元，同比增长</w:t>
      </w:r>
      <w:r>
        <w:rPr>
          <w:rFonts w:ascii="仿宋" w:eastAsia="仿宋" w:hAnsi="仿宋" w:cs="仿宋"/>
          <w:sz w:val="32"/>
          <w:szCs w:val="32"/>
        </w:rPr>
        <w:t>7.77%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、公共安全支出25523万元，同比增长</w:t>
      </w:r>
      <w:r>
        <w:rPr>
          <w:rFonts w:ascii="仿宋" w:eastAsia="仿宋" w:hAnsi="仿宋" w:cs="仿宋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63</w:t>
      </w:r>
      <w:r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、教育支出43298万元，同比增长</w:t>
      </w:r>
      <w:r>
        <w:rPr>
          <w:rFonts w:ascii="仿宋" w:eastAsia="仿宋" w:hAnsi="仿宋" w:cs="仿宋"/>
          <w:sz w:val="32"/>
          <w:szCs w:val="32"/>
        </w:rPr>
        <w:t>12.55%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、科学技术支出7838万元，同比增长</w:t>
      </w:r>
      <w:r>
        <w:rPr>
          <w:rFonts w:ascii="仿宋" w:eastAsia="仿宋" w:hAnsi="仿宋" w:cs="仿宋"/>
          <w:sz w:val="32"/>
          <w:szCs w:val="32"/>
        </w:rPr>
        <w:t>11.77%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、文化体育与传媒支出1257万元，同比增长</w:t>
      </w:r>
      <w:r>
        <w:rPr>
          <w:rFonts w:ascii="仿宋" w:eastAsia="仿宋" w:hAnsi="仿宋" w:cs="仿宋"/>
          <w:sz w:val="32"/>
          <w:szCs w:val="32"/>
        </w:rPr>
        <w:t>10.32%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、社会保障和就业支出33580万元，同比增长</w:t>
      </w:r>
      <w:r>
        <w:rPr>
          <w:rFonts w:ascii="仿宋" w:eastAsia="仿宋" w:hAnsi="仿宋" w:cs="仿宋"/>
          <w:sz w:val="32"/>
          <w:szCs w:val="32"/>
        </w:rPr>
        <w:t>12.4%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、医疗卫生和计划生育支出13437万元，同比增长</w:t>
      </w:r>
      <w:r>
        <w:rPr>
          <w:rFonts w:ascii="仿宋" w:eastAsia="仿宋" w:hAnsi="仿宋" w:cs="仿宋"/>
          <w:sz w:val="32"/>
          <w:szCs w:val="32"/>
        </w:rPr>
        <w:t>12.06%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、节能环保支出32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万元，同比增长</w:t>
      </w:r>
      <w:r>
        <w:rPr>
          <w:rFonts w:ascii="仿宋" w:eastAsia="仿宋" w:hAnsi="仿宋" w:cs="仿宋"/>
          <w:sz w:val="32"/>
          <w:szCs w:val="32"/>
        </w:rPr>
        <w:t>11.5%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、城乡社区支出21073万元，同比增长</w:t>
      </w:r>
      <w:r>
        <w:rPr>
          <w:rFonts w:ascii="仿宋" w:eastAsia="仿宋" w:hAnsi="仿宋" w:cs="仿宋"/>
          <w:sz w:val="32"/>
          <w:szCs w:val="32"/>
        </w:rPr>
        <w:t>10.06%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、农林水支出13112万元，同比增长</w:t>
      </w:r>
      <w:r>
        <w:rPr>
          <w:rFonts w:ascii="仿宋" w:eastAsia="仿宋" w:hAnsi="仿宋" w:cs="仿宋"/>
          <w:sz w:val="32"/>
          <w:szCs w:val="32"/>
        </w:rPr>
        <w:t>8.09%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、交通运输支出</w:t>
      </w:r>
      <w:r>
        <w:rPr>
          <w:rFonts w:ascii="仿宋" w:eastAsia="仿宋" w:hAnsi="仿宋" w:cs="仿宋"/>
          <w:sz w:val="32"/>
          <w:szCs w:val="32"/>
        </w:rPr>
        <w:t>957</w:t>
      </w:r>
      <w:r>
        <w:rPr>
          <w:rFonts w:ascii="仿宋" w:eastAsia="仿宋" w:hAnsi="仿宋" w:cs="仿宋" w:hint="eastAsia"/>
          <w:sz w:val="32"/>
          <w:szCs w:val="32"/>
        </w:rPr>
        <w:t>万元，同比增长</w:t>
      </w:r>
      <w:r>
        <w:rPr>
          <w:rFonts w:ascii="仿宋" w:eastAsia="仿宋" w:hAnsi="仿宋" w:cs="仿宋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、资源勘探信息等支出695万元，同比增长</w:t>
      </w:r>
      <w:r>
        <w:rPr>
          <w:rFonts w:ascii="仿宋" w:eastAsia="仿宋" w:hAnsi="仿宋" w:cs="仿宋"/>
          <w:sz w:val="32"/>
          <w:szCs w:val="32"/>
        </w:rPr>
        <w:t>5.48%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、商业服务业等支出1471万元，同比增长</w:t>
      </w:r>
      <w:r>
        <w:rPr>
          <w:rFonts w:ascii="仿宋" w:eastAsia="仿宋" w:hAnsi="仿宋" w:cs="仿宋"/>
          <w:sz w:val="32"/>
          <w:szCs w:val="32"/>
        </w:rPr>
        <w:t>10.07%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、金融支出</w:t>
      </w:r>
      <w:r>
        <w:rPr>
          <w:rFonts w:ascii="仿宋" w:eastAsia="仿宋" w:hAnsi="仿宋" w:cs="仿宋"/>
          <w:sz w:val="32"/>
          <w:szCs w:val="32"/>
        </w:rPr>
        <w:t>172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、国土海洋气象等支出1592万元，同比增长</w:t>
      </w:r>
      <w:r>
        <w:rPr>
          <w:rFonts w:ascii="仿宋" w:eastAsia="仿宋" w:hAnsi="仿宋" w:cs="仿宋"/>
          <w:sz w:val="32"/>
          <w:szCs w:val="32"/>
        </w:rPr>
        <w:t>7.58%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、住房保障支出</w:t>
      </w:r>
      <w:r>
        <w:rPr>
          <w:rFonts w:ascii="仿宋" w:eastAsia="仿宋" w:hAnsi="仿宋" w:cs="仿宋"/>
          <w:sz w:val="32"/>
          <w:szCs w:val="32"/>
        </w:rPr>
        <w:t>5866</w:t>
      </w:r>
      <w:r>
        <w:rPr>
          <w:rFonts w:ascii="仿宋" w:eastAsia="仿宋" w:hAnsi="仿宋" w:cs="仿宋" w:hint="eastAsia"/>
          <w:sz w:val="32"/>
          <w:szCs w:val="32"/>
        </w:rPr>
        <w:t>万元，同比增长</w:t>
      </w:r>
      <w:r>
        <w:rPr>
          <w:rFonts w:ascii="仿宋" w:eastAsia="仿宋" w:hAnsi="仿宋" w:cs="仿宋"/>
          <w:sz w:val="32"/>
          <w:szCs w:val="32"/>
        </w:rPr>
        <w:t>9.54%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18、粮油物资储备支出1万元。</w:t>
      </w:r>
    </w:p>
    <w:p w:rsidR="00A57515" w:rsidRPr="0057281A" w:rsidRDefault="0057281A" w:rsidP="0057281A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9、其他支出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13529万</w:t>
      </w:r>
      <w:r>
        <w:rPr>
          <w:rFonts w:ascii="仿宋" w:eastAsia="仿宋" w:hAnsi="仿宋" w:cs="仿宋" w:hint="eastAsia"/>
          <w:sz w:val="32"/>
          <w:szCs w:val="32"/>
        </w:rPr>
        <w:t>元，同比下降6.58</w:t>
      </w:r>
      <w:r>
        <w:rPr>
          <w:rFonts w:ascii="仿宋" w:eastAsia="仿宋" w:hAnsi="仿宋" w:cs="仿宋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A57515" w:rsidRPr="0057281A" w:rsidSect="00D6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BE" w:rsidRDefault="006A40BE" w:rsidP="00A57515">
      <w:r>
        <w:separator/>
      </w:r>
    </w:p>
  </w:endnote>
  <w:endnote w:type="continuationSeparator" w:id="1">
    <w:p w:rsidR="006A40BE" w:rsidRDefault="006A40BE" w:rsidP="00A5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BE" w:rsidRDefault="006A40BE" w:rsidP="00A57515">
      <w:r>
        <w:separator/>
      </w:r>
    </w:p>
  </w:footnote>
  <w:footnote w:type="continuationSeparator" w:id="1">
    <w:p w:rsidR="006A40BE" w:rsidRDefault="006A40BE" w:rsidP="00A5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15"/>
    <w:rsid w:val="003C0858"/>
    <w:rsid w:val="00554743"/>
    <w:rsid w:val="0057281A"/>
    <w:rsid w:val="006A40BE"/>
    <w:rsid w:val="007D62E2"/>
    <w:rsid w:val="00A57515"/>
    <w:rsid w:val="00D61E92"/>
    <w:rsid w:val="00E4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7</cp:revision>
  <dcterms:created xsi:type="dcterms:W3CDTF">2018-04-08T07:00:00Z</dcterms:created>
  <dcterms:modified xsi:type="dcterms:W3CDTF">2018-04-08T07:04:00Z</dcterms:modified>
</cp:coreProperties>
</file>