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江门市蓬江区城市管理和综合执法局公务用车</w:t>
      </w:r>
    </w:p>
    <w:p>
      <w:pPr>
        <w:spacing w:line="500" w:lineRule="exact"/>
        <w:jc w:val="center"/>
        <w:rPr>
          <w:sz w:val="24"/>
          <w:szCs w:val="24"/>
        </w:rPr>
      </w:pPr>
      <w:r>
        <w:rPr>
          <w:rFonts w:hint="eastAsia" w:ascii="方正小标宋简体" w:hAnsi="方正小标宋简体" w:eastAsia="方正小标宋简体" w:cs="方正小标宋简体"/>
          <w:sz w:val="36"/>
          <w:szCs w:val="36"/>
        </w:rPr>
        <w:t>定点维修服务采购评分标准</w:t>
      </w:r>
    </w:p>
    <w:p>
      <w:pPr>
        <w:pStyle w:val="2"/>
        <w:rPr>
          <w:rFonts w:hAnsi="宋体" w:cs="宋体"/>
        </w:rPr>
      </w:pPr>
    </w:p>
    <w:p>
      <w:pPr>
        <w:spacing w:line="360" w:lineRule="auto"/>
        <w:ind w:firstLine="420" w:firstLineChars="200"/>
        <w:rPr>
          <w:rFonts w:ascii="宋体" w:hAnsi="宋体" w:cs="宋体"/>
        </w:rPr>
      </w:pPr>
      <w:r>
        <w:rPr>
          <w:rFonts w:hint="eastAsia" w:ascii="宋体" w:hAnsi="宋体" w:cs="宋体"/>
        </w:rPr>
        <w:t>一、评分选取方式</w:t>
      </w:r>
    </w:p>
    <w:p>
      <w:pPr>
        <w:spacing w:line="360" w:lineRule="auto"/>
        <w:ind w:firstLine="420" w:firstLineChars="200"/>
        <w:rPr>
          <w:rFonts w:ascii="宋体" w:hAnsi="宋体" w:cs="宋体"/>
        </w:rPr>
      </w:pPr>
      <w:r>
        <w:rPr>
          <w:rFonts w:hint="eastAsia" w:ascii="宋体" w:hAnsi="宋体" w:cs="宋体"/>
        </w:rPr>
        <w:t>本次采购为采购人通过自主采购的方式确定中选机构。评选标准为采购人按照评分标准对参评供应商提供的有效材料进行综合评分，评分步骤分为初审和详细评审。详细评审时，采购人对照《项目评分表》进行逐项评分。计算出各评审因素的算术平均值后合计总和作为该供应商的得分，并按得分由高到低顺序确定中选机构。</w:t>
      </w:r>
    </w:p>
    <w:p>
      <w:pPr>
        <w:spacing w:line="360" w:lineRule="auto"/>
        <w:ind w:firstLine="420" w:firstLineChars="200"/>
        <w:rPr>
          <w:rFonts w:ascii="宋体" w:hAnsi="宋体" w:cs="宋体"/>
        </w:rPr>
      </w:pPr>
      <w:r>
        <w:rPr>
          <w:rFonts w:hint="eastAsia" w:ascii="仿宋_GB2312" w:hAnsi="华文仿宋"/>
          <w:szCs w:val="32"/>
        </w:rPr>
        <w:t>如有两家或以上供应商的综合得分相同且得分均为最高，</w:t>
      </w:r>
      <w:r>
        <w:rPr>
          <w:rFonts w:hint="eastAsia" w:ascii="宋体" w:hAnsi="宋体" w:cs="宋体"/>
        </w:rPr>
        <w:t>评分小组视供应商的情况综合比较，投票确定其名次。</w:t>
      </w:r>
      <w:bookmarkStart w:id="0" w:name="_GoBack"/>
      <w:bookmarkEnd w:id="0"/>
    </w:p>
    <w:p>
      <w:pPr>
        <w:spacing w:line="360" w:lineRule="auto"/>
        <w:ind w:firstLine="420" w:firstLineChars="200"/>
      </w:pPr>
      <w:r>
        <w:rPr>
          <w:rFonts w:hint="eastAsia" w:ascii="宋体" w:hAnsi="宋体" w:cs="宋体"/>
        </w:rPr>
        <w:t>二、初步评审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vAlign w:val="center"/>
          </w:tcPr>
          <w:p>
            <w:pPr>
              <w:spacing w:line="360" w:lineRule="auto"/>
              <w:jc w:val="center"/>
              <w:rPr>
                <w:rFonts w:ascii="宋体" w:hAnsi="宋体" w:cs="宋体"/>
                <w:b/>
              </w:rPr>
            </w:pPr>
            <w:r>
              <w:rPr>
                <w:rFonts w:hint="eastAsia" w:ascii="宋体" w:hAnsi="宋体" w:cs="宋体"/>
                <w:b/>
              </w:rPr>
              <w:t>评审因素</w:t>
            </w:r>
          </w:p>
        </w:tc>
        <w:tc>
          <w:tcPr>
            <w:tcW w:w="6713" w:type="dxa"/>
            <w:shd w:val="clear" w:color="auto" w:fill="auto"/>
            <w:vAlign w:val="center"/>
          </w:tcPr>
          <w:p>
            <w:pPr>
              <w:spacing w:line="360" w:lineRule="auto"/>
              <w:jc w:val="center"/>
              <w:rPr>
                <w:rFonts w:ascii="宋体" w:hAnsi="宋体" w:cs="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资质</w:t>
            </w:r>
          </w:p>
        </w:tc>
        <w:tc>
          <w:tcPr>
            <w:tcW w:w="6713" w:type="dxa"/>
            <w:shd w:val="clear" w:color="auto" w:fill="auto"/>
            <w:vAlign w:val="center"/>
          </w:tcPr>
          <w:p>
            <w:pPr>
              <w:adjustRightInd/>
              <w:spacing w:line="360" w:lineRule="auto"/>
              <w:jc w:val="both"/>
              <w:textAlignment w:val="auto"/>
              <w:rPr>
                <w:rFonts w:ascii="宋体" w:hAnsi="宋体" w:cs="宋体"/>
              </w:rPr>
            </w:pPr>
            <w:r>
              <w:rPr>
                <w:rFonts w:hint="eastAsia" w:ascii="宋体" w:hAnsi="宋体" w:cs="宋体"/>
              </w:rPr>
              <w:t>（1）在中华人民共和国境内依法注册的具有合法经营资格的独立法人；</w:t>
            </w:r>
          </w:p>
          <w:p>
            <w:pPr>
              <w:adjustRightInd/>
              <w:spacing w:line="360" w:lineRule="auto"/>
              <w:jc w:val="both"/>
              <w:textAlignment w:val="auto"/>
              <w:rPr>
                <w:rFonts w:ascii="宋体" w:hAnsi="宋体" w:cs="宋体"/>
              </w:rPr>
            </w:pPr>
            <w:r>
              <w:rPr>
                <w:rFonts w:hint="eastAsia" w:ascii="宋体" w:hAnsi="宋体" w:cs="宋体"/>
              </w:rPr>
              <w:t>（2）具备相应行业资质；</w:t>
            </w:r>
          </w:p>
          <w:p>
            <w:pPr>
              <w:adjustRightInd/>
              <w:spacing w:line="360" w:lineRule="auto"/>
              <w:jc w:val="both"/>
              <w:textAlignment w:val="auto"/>
              <w:rPr>
                <w:rFonts w:ascii="宋体" w:hAnsi="宋体" w:cs="宋体"/>
              </w:rPr>
            </w:pPr>
            <w:r>
              <w:rPr>
                <w:rFonts w:hint="eastAsia" w:ascii="宋体" w:hAnsi="宋体" w:cs="宋体"/>
              </w:rPr>
              <w:t>（3）不属于回避单位；</w:t>
            </w:r>
          </w:p>
          <w:p>
            <w:pPr>
              <w:pStyle w:val="2"/>
              <w:spacing w:line="360" w:lineRule="auto"/>
            </w:pPr>
            <w:r>
              <w:rPr>
                <w:rFonts w:hint="eastAsia"/>
                <w:sz w:val="21"/>
                <w:szCs w:val="21"/>
              </w:rPr>
              <w:t>（4）是否有交通行政主管部门颁发的二类以上（含二类）机动车维修资质。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信用</w:t>
            </w:r>
          </w:p>
        </w:tc>
        <w:tc>
          <w:tcPr>
            <w:tcW w:w="6713" w:type="dxa"/>
            <w:shd w:val="clear" w:color="auto" w:fill="auto"/>
            <w:vAlign w:val="center"/>
          </w:tcPr>
          <w:p>
            <w:pPr>
              <w:adjustRightInd/>
              <w:spacing w:line="360" w:lineRule="auto"/>
              <w:jc w:val="both"/>
              <w:textAlignment w:val="auto"/>
              <w:rPr>
                <w:rFonts w:ascii="宋体" w:hAnsi="宋体" w:cs="宋体"/>
              </w:rPr>
            </w:pPr>
            <w:r>
              <w:rPr>
                <w:rFonts w:hint="eastAsia" w:ascii="宋体" w:hAnsi="宋体" w:cs="宋体"/>
              </w:rPr>
              <w:t>（1）供应商在国家企业信用信息公示系统中未被列入严重违法失信企业名单；</w:t>
            </w:r>
          </w:p>
          <w:p>
            <w:pPr>
              <w:adjustRightInd/>
              <w:spacing w:line="360" w:lineRule="auto"/>
              <w:jc w:val="both"/>
              <w:textAlignment w:val="auto"/>
              <w:rPr>
                <w:rFonts w:ascii="宋体" w:hAnsi="宋体" w:cs="宋体"/>
              </w:rPr>
            </w:pPr>
            <w:r>
              <w:rPr>
                <w:rFonts w:hint="eastAsia" w:ascii="宋体" w:hAnsi="宋体" w:cs="宋体"/>
              </w:rPr>
              <w:t>（2）在“信用中国”网站或地方信用网站的信用信息报告无不良记录。</w:t>
            </w:r>
          </w:p>
          <w:p>
            <w:pPr>
              <w:adjustRightInd/>
              <w:spacing w:before="156" w:beforeLines="50" w:line="360" w:lineRule="auto"/>
              <w:jc w:val="both"/>
              <w:textAlignment w:val="auto"/>
            </w:pPr>
            <w:r>
              <w:rPr>
                <w:rFonts w:hint="eastAsia" w:ascii="宋体" w:hAnsi="宋体" w:cs="宋体"/>
              </w:rPr>
              <w:t>注：如供应商未提交上述证明材料，则由评选小组核查；如供应商为事业单位，无法提供国家企业信用信息公示系统截图，则视作通过。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报价</w:t>
            </w:r>
          </w:p>
        </w:tc>
        <w:tc>
          <w:tcPr>
            <w:tcW w:w="6713" w:type="dxa"/>
            <w:shd w:val="clear" w:color="auto" w:fill="auto"/>
            <w:vAlign w:val="center"/>
          </w:tcPr>
          <w:p>
            <w:pPr>
              <w:adjustRightInd/>
              <w:spacing w:line="360" w:lineRule="auto"/>
              <w:jc w:val="both"/>
              <w:rPr>
                <w:rFonts w:ascii="宋体" w:hAnsi="宋体" w:cs="宋体"/>
              </w:rPr>
            </w:pPr>
            <w:r>
              <w:rPr>
                <w:rFonts w:hint="eastAsia" w:cs="宋体"/>
              </w:rPr>
              <w:t>按采购人的要求进行有效报价，价格在市场可接受的合理区间范围内</w:t>
            </w:r>
            <w:r>
              <w:rPr>
                <w:rFonts w:cs="宋体"/>
              </w:rPr>
              <w:t>。</w:t>
            </w:r>
          </w:p>
        </w:tc>
      </w:tr>
    </w:tbl>
    <w:p>
      <w:pPr>
        <w:pStyle w:val="2"/>
        <w:sectPr>
          <w:headerReference r:id="rId5" w:type="default"/>
          <w:pgSz w:w="11906" w:h="16838"/>
          <w:pgMar w:top="1440" w:right="1800" w:bottom="1440" w:left="1800" w:header="567" w:footer="992" w:gutter="0"/>
          <w:cols w:space="720" w:num="1"/>
          <w:docGrid w:type="lines" w:linePitch="312" w:charSpace="0"/>
        </w:sectPr>
      </w:pPr>
    </w:p>
    <w:p>
      <w:pPr>
        <w:spacing w:line="360" w:lineRule="auto"/>
        <w:ind w:firstLine="420" w:firstLineChars="200"/>
      </w:pPr>
      <w:r>
        <w:rPr>
          <w:rFonts w:hint="eastAsia" w:ascii="宋体" w:hAnsi="宋体" w:cs="宋体"/>
        </w:rPr>
        <w:t>三、详细评审</w:t>
      </w:r>
    </w:p>
    <w:p>
      <w:pPr>
        <w:spacing w:line="600" w:lineRule="exact"/>
        <w:jc w:val="center"/>
        <w:rPr>
          <w:rFonts w:eastAsia="方正小标宋简体"/>
          <w:bCs/>
          <w:kern w:val="0"/>
          <w:sz w:val="44"/>
          <w:szCs w:val="44"/>
        </w:rPr>
      </w:pPr>
      <w:r>
        <w:rPr>
          <w:rFonts w:hint="eastAsia" w:eastAsia="方正小标宋简体"/>
          <w:bCs/>
          <w:sz w:val="44"/>
          <w:szCs w:val="44"/>
          <w:lang w:eastAsia="zh-CN"/>
        </w:rPr>
        <w:t>江门市蓬江区城市管理和综合执法局公务用车</w:t>
      </w:r>
      <w:r>
        <w:rPr>
          <w:rFonts w:hint="eastAsia" w:eastAsia="方正小标宋简体"/>
          <w:bCs/>
          <w:sz w:val="44"/>
          <w:szCs w:val="44"/>
        </w:rPr>
        <w:t>定点维修项目</w:t>
      </w:r>
      <w:r>
        <w:rPr>
          <w:rFonts w:eastAsia="方正小标宋简体"/>
          <w:bCs/>
          <w:kern w:val="0"/>
          <w:sz w:val="44"/>
          <w:szCs w:val="44"/>
        </w:rPr>
        <w:t>评</w:t>
      </w:r>
      <w:r>
        <w:rPr>
          <w:rFonts w:hint="eastAsia" w:eastAsia="方正小标宋简体"/>
          <w:bCs/>
          <w:kern w:val="0"/>
          <w:sz w:val="44"/>
          <w:szCs w:val="44"/>
        </w:rPr>
        <w:t>分</w:t>
      </w:r>
      <w:r>
        <w:rPr>
          <w:rFonts w:eastAsia="方正小标宋简体"/>
          <w:bCs/>
          <w:kern w:val="0"/>
          <w:sz w:val="44"/>
          <w:szCs w:val="44"/>
        </w:rPr>
        <w:t>表</w:t>
      </w:r>
    </w:p>
    <w:tbl>
      <w:tblPr>
        <w:tblStyle w:val="8"/>
        <w:tblW w:w="1527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52"/>
        <w:gridCol w:w="1917"/>
        <w:gridCol w:w="783"/>
        <w:gridCol w:w="10117"/>
        <w:gridCol w:w="11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tblHeader/>
          <w:jc w:val="center"/>
        </w:trPr>
        <w:tc>
          <w:tcPr>
            <w:tcW w:w="3269" w:type="dxa"/>
            <w:gridSpan w:val="2"/>
            <w:vAlign w:val="center"/>
          </w:tcPr>
          <w:p>
            <w:pPr>
              <w:widowControl/>
              <w:jc w:val="center"/>
              <w:rPr>
                <w:rFonts w:ascii="宋体" w:hAnsi="宋体" w:cs="黑体"/>
                <w:kern w:val="0"/>
              </w:rPr>
            </w:pPr>
            <w:r>
              <w:rPr>
                <w:rFonts w:hint="eastAsia" w:ascii="宋体" w:hAnsi="宋体" w:cs="黑体"/>
                <w:kern w:val="0"/>
              </w:rPr>
              <w:t>评审项目分值</w:t>
            </w:r>
          </w:p>
        </w:tc>
        <w:tc>
          <w:tcPr>
            <w:tcW w:w="783" w:type="dxa"/>
            <w:vAlign w:val="center"/>
          </w:tcPr>
          <w:p>
            <w:pPr>
              <w:widowControl/>
              <w:jc w:val="center"/>
              <w:rPr>
                <w:rFonts w:ascii="宋体" w:hAnsi="宋体" w:cs="黑体"/>
                <w:kern w:val="0"/>
              </w:rPr>
            </w:pPr>
            <w:r>
              <w:rPr>
                <w:rFonts w:hint="eastAsia" w:ascii="宋体" w:hAnsi="宋体" w:cs="黑体"/>
                <w:kern w:val="0"/>
              </w:rPr>
              <w:t>分值</w:t>
            </w:r>
          </w:p>
        </w:tc>
        <w:tc>
          <w:tcPr>
            <w:tcW w:w="10117" w:type="dxa"/>
            <w:vAlign w:val="center"/>
          </w:tcPr>
          <w:p>
            <w:pPr>
              <w:widowControl/>
              <w:jc w:val="center"/>
              <w:rPr>
                <w:rFonts w:ascii="宋体" w:hAnsi="宋体" w:cs="黑体"/>
                <w:kern w:val="0"/>
              </w:rPr>
            </w:pPr>
            <w:r>
              <w:rPr>
                <w:rFonts w:hint="eastAsia" w:ascii="宋体" w:hAnsi="宋体" w:cs="黑体"/>
                <w:kern w:val="0"/>
              </w:rPr>
              <w:t>评审标准分值</w:t>
            </w:r>
          </w:p>
        </w:tc>
        <w:tc>
          <w:tcPr>
            <w:tcW w:w="1107" w:type="dxa"/>
            <w:vAlign w:val="center"/>
          </w:tcPr>
          <w:p>
            <w:pPr>
              <w:widowControl/>
              <w:jc w:val="center"/>
              <w:rPr>
                <w:rFonts w:ascii="宋体" w:hAnsi="宋体" w:cs="黑体"/>
                <w:kern w:val="0"/>
              </w:rPr>
            </w:pPr>
            <w:r>
              <w:rPr>
                <w:rFonts w:hint="eastAsia" w:ascii="宋体" w:hAnsi="宋体" w:cs="黑体"/>
                <w:kern w:val="0"/>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3" w:hRule="atLeast"/>
          <w:jc w:val="center"/>
        </w:trPr>
        <w:tc>
          <w:tcPr>
            <w:tcW w:w="1352" w:type="dxa"/>
            <w:vMerge w:val="restart"/>
            <w:vAlign w:val="center"/>
          </w:tcPr>
          <w:p>
            <w:pPr>
              <w:spacing w:line="276" w:lineRule="auto"/>
              <w:jc w:val="center"/>
              <w:rPr>
                <w:rFonts w:ascii="宋体" w:hAnsi="宋体" w:cs="宋体"/>
              </w:rPr>
            </w:pPr>
            <w:r>
              <w:rPr>
                <w:rFonts w:hint="eastAsia" w:ascii="宋体" w:hAnsi="宋体" w:cs="宋体"/>
              </w:rPr>
              <w:t>技术（方案）</w:t>
            </w:r>
          </w:p>
          <w:p>
            <w:pPr>
              <w:spacing w:line="276" w:lineRule="auto"/>
              <w:jc w:val="center"/>
              <w:rPr>
                <w:rFonts w:ascii="宋体" w:hAnsi="宋体" w:cs="宋体"/>
              </w:rPr>
            </w:pPr>
            <w:r>
              <w:rPr>
                <w:rFonts w:hint="eastAsia" w:ascii="宋体" w:hAnsi="宋体" w:cs="宋体"/>
              </w:rPr>
              <w:t>建议书</w:t>
            </w:r>
          </w:p>
          <w:p>
            <w:pPr>
              <w:widowControl/>
              <w:jc w:val="center"/>
              <w:rPr>
                <w:rFonts w:ascii="宋体" w:hAnsi="宋体"/>
                <w:kern w:val="0"/>
              </w:rPr>
            </w:pPr>
            <w:r>
              <w:rPr>
                <w:rFonts w:ascii="宋体" w:hAnsi="宋体"/>
                <w:kern w:val="0"/>
              </w:rPr>
              <w:t>（</w:t>
            </w:r>
            <w:r>
              <w:rPr>
                <w:rFonts w:hint="eastAsia" w:ascii="宋体" w:hAnsi="宋体"/>
                <w:kern w:val="0"/>
              </w:rPr>
              <w:t>50分</w:t>
            </w:r>
            <w:r>
              <w:rPr>
                <w:rFonts w:ascii="宋体" w:hAnsi="宋体"/>
                <w:kern w:val="0"/>
              </w:rPr>
              <w:t>）</w:t>
            </w:r>
          </w:p>
        </w:tc>
        <w:tc>
          <w:tcPr>
            <w:tcW w:w="1917" w:type="dxa"/>
            <w:vAlign w:val="center"/>
          </w:tcPr>
          <w:p>
            <w:pPr>
              <w:jc w:val="center"/>
              <w:rPr>
                <w:rFonts w:ascii="宋体" w:hAnsi="宋体" w:eastAsia="宋体" w:cs="Times New Roman"/>
                <w:kern w:val="0"/>
                <w:sz w:val="21"/>
                <w:szCs w:val="21"/>
                <w:lang w:val="en-US" w:eastAsia="zh-CN" w:bidi="ar-SA"/>
              </w:rPr>
            </w:pPr>
            <w:r>
              <w:rPr>
                <w:rFonts w:ascii="宋体" w:hAnsi="宋体"/>
                <w:kern w:val="0"/>
              </w:rPr>
              <w:t>供应商相关资质</w:t>
            </w:r>
          </w:p>
        </w:tc>
        <w:tc>
          <w:tcPr>
            <w:tcW w:w="783" w:type="dxa"/>
            <w:vAlign w:val="center"/>
          </w:tcPr>
          <w:p>
            <w:pPr>
              <w:widowControl/>
              <w:jc w:val="center"/>
              <w:rPr>
                <w:rFonts w:hint="eastAsia" w:ascii="宋体" w:hAnsi="宋体" w:eastAsia="宋体" w:cs="Times New Roman"/>
                <w:kern w:val="0"/>
                <w:sz w:val="21"/>
                <w:szCs w:val="21"/>
                <w:lang w:val="en-US" w:eastAsia="zh-CN" w:bidi="ar-SA"/>
              </w:rPr>
            </w:pPr>
            <w:r>
              <w:rPr>
                <w:rFonts w:hint="eastAsia" w:ascii="宋体" w:hAnsi="宋体"/>
                <w:kern w:val="0"/>
                <w:lang w:val="en-US" w:eastAsia="zh-CN"/>
              </w:rPr>
              <w:t>6</w:t>
            </w:r>
          </w:p>
        </w:tc>
        <w:tc>
          <w:tcPr>
            <w:tcW w:w="10117" w:type="dxa"/>
            <w:vAlign w:val="center"/>
          </w:tcPr>
          <w:p>
            <w:pPr>
              <w:widowControl/>
              <w:rPr>
                <w:rFonts w:ascii="宋体" w:hAnsi="宋体" w:eastAsia="宋体" w:cs="Times New Roman"/>
                <w:kern w:val="0"/>
                <w:sz w:val="21"/>
                <w:szCs w:val="21"/>
                <w:lang w:val="en-US" w:eastAsia="zh-CN" w:bidi="ar-SA"/>
              </w:rPr>
            </w:pPr>
            <w:r>
              <w:rPr>
                <w:rFonts w:ascii="宋体" w:hAnsi="宋体"/>
                <w:kern w:val="0"/>
              </w:rPr>
              <w:t>根据供应商资质</w:t>
            </w:r>
            <w:r>
              <w:rPr>
                <w:rFonts w:hint="eastAsia" w:ascii="宋体" w:hAnsi="宋体"/>
                <w:kern w:val="0"/>
              </w:rPr>
              <w:t>进行</w:t>
            </w:r>
            <w:r>
              <w:rPr>
                <w:rFonts w:ascii="宋体" w:hAnsi="宋体"/>
                <w:kern w:val="0"/>
              </w:rPr>
              <w:t>比较</w:t>
            </w:r>
            <w:r>
              <w:rPr>
                <w:rFonts w:hint="eastAsia" w:ascii="宋体" w:hAnsi="宋体"/>
                <w:kern w:val="0"/>
              </w:rPr>
              <w:t>，具备汽车整车维修的一类维修企业资质的得</w:t>
            </w:r>
            <w:r>
              <w:rPr>
                <w:rFonts w:hint="eastAsia" w:ascii="宋体" w:hAnsi="宋体"/>
                <w:kern w:val="0"/>
                <w:lang w:val="en-US" w:eastAsia="zh-CN"/>
              </w:rPr>
              <w:t>6</w:t>
            </w:r>
            <w:r>
              <w:rPr>
                <w:rFonts w:hint="eastAsia" w:ascii="宋体" w:hAnsi="宋体"/>
                <w:kern w:val="0"/>
              </w:rPr>
              <w:t>分，具备汽车整车维修二类维修企业资质的得5分。</w:t>
            </w:r>
          </w:p>
        </w:tc>
        <w:tc>
          <w:tcPr>
            <w:tcW w:w="1107" w:type="dxa"/>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5" w:hRule="atLeast"/>
          <w:jc w:val="center"/>
        </w:trPr>
        <w:tc>
          <w:tcPr>
            <w:tcW w:w="1352" w:type="dxa"/>
            <w:vMerge w:val="continue"/>
            <w:vAlign w:val="center"/>
          </w:tcPr>
          <w:p>
            <w:pPr>
              <w:widowControl/>
              <w:jc w:val="center"/>
              <w:rPr>
                <w:rFonts w:ascii="宋体" w:hAnsi="宋体"/>
                <w:kern w:val="0"/>
              </w:rPr>
            </w:pPr>
          </w:p>
        </w:tc>
        <w:tc>
          <w:tcPr>
            <w:tcW w:w="1917" w:type="dxa"/>
            <w:vAlign w:val="center"/>
          </w:tcPr>
          <w:p>
            <w:pPr>
              <w:jc w:val="center"/>
              <w:rPr>
                <w:rFonts w:ascii="宋体" w:hAnsi="宋体" w:eastAsia="宋体" w:cs="Times New Roman"/>
                <w:kern w:val="0"/>
                <w:sz w:val="21"/>
                <w:szCs w:val="21"/>
                <w:lang w:val="en-US" w:eastAsia="zh-CN" w:bidi="ar-SA"/>
              </w:rPr>
            </w:pPr>
            <w:r>
              <w:rPr>
                <w:rFonts w:hint="eastAsia" w:ascii="宋体" w:hAnsi="宋体"/>
                <w:kern w:val="0"/>
              </w:rPr>
              <w:t>供应商简介</w:t>
            </w:r>
          </w:p>
        </w:tc>
        <w:tc>
          <w:tcPr>
            <w:tcW w:w="783" w:type="dxa"/>
            <w:vAlign w:val="center"/>
          </w:tcPr>
          <w:p>
            <w:pPr>
              <w:jc w:val="center"/>
              <w:rPr>
                <w:rFonts w:hint="eastAsia" w:ascii="宋体" w:hAnsi="宋体" w:eastAsia="宋体" w:cs="Times New Roman"/>
                <w:kern w:val="0"/>
                <w:sz w:val="21"/>
                <w:szCs w:val="21"/>
                <w:lang w:val="en-US" w:eastAsia="zh-CN" w:bidi="ar-SA"/>
              </w:rPr>
            </w:pPr>
            <w:r>
              <w:rPr>
                <w:rFonts w:hint="eastAsia" w:ascii="宋体" w:hAnsi="宋体"/>
                <w:kern w:val="0"/>
                <w:lang w:val="en-US" w:eastAsia="zh-CN"/>
              </w:rPr>
              <w:t>11</w:t>
            </w:r>
          </w:p>
        </w:tc>
        <w:tc>
          <w:tcPr>
            <w:tcW w:w="10117" w:type="dxa"/>
            <w:vAlign w:val="center"/>
          </w:tcPr>
          <w:p>
            <w:pPr>
              <w:rPr>
                <w:rFonts w:ascii="宋体" w:hAnsi="宋体" w:eastAsia="宋体" w:cs="Times New Roman"/>
                <w:kern w:val="0"/>
                <w:sz w:val="21"/>
                <w:szCs w:val="21"/>
                <w:lang w:val="en-US" w:eastAsia="zh-CN" w:bidi="ar-SA"/>
              </w:rPr>
            </w:pPr>
            <w:r>
              <w:rPr>
                <w:rFonts w:hint="eastAsia" w:ascii="宋体" w:hAnsi="宋体"/>
                <w:kern w:val="0"/>
              </w:rPr>
              <w:t>根据供应商的公司简介，包括公司架构、场地情况、设备人员、技术力量等综合实力进行比较，优</w:t>
            </w:r>
            <w:r>
              <w:rPr>
                <w:rFonts w:hint="eastAsia" w:ascii="宋体" w:hAnsi="宋体"/>
                <w:kern w:val="0"/>
                <w:lang w:val="en-US" w:eastAsia="zh-CN"/>
              </w:rPr>
              <w:t>11</w:t>
            </w:r>
            <w:r>
              <w:rPr>
                <w:rFonts w:hint="eastAsia" w:ascii="宋体" w:hAnsi="宋体"/>
                <w:kern w:val="0"/>
              </w:rPr>
              <w:t>-</w:t>
            </w:r>
            <w:r>
              <w:rPr>
                <w:rFonts w:hint="eastAsia" w:ascii="宋体" w:hAnsi="宋体"/>
                <w:kern w:val="0"/>
                <w:lang w:val="en-US" w:eastAsia="zh-CN"/>
              </w:rPr>
              <w:t>8</w:t>
            </w:r>
            <w:r>
              <w:rPr>
                <w:rFonts w:hint="eastAsia" w:ascii="宋体" w:hAnsi="宋体"/>
                <w:kern w:val="0"/>
              </w:rPr>
              <w:t>分，良</w:t>
            </w:r>
            <w:r>
              <w:rPr>
                <w:rFonts w:hint="eastAsia" w:ascii="宋体" w:hAnsi="宋体"/>
                <w:kern w:val="0"/>
                <w:lang w:val="en-US" w:eastAsia="zh-CN"/>
              </w:rPr>
              <w:t>7</w:t>
            </w:r>
            <w:r>
              <w:rPr>
                <w:rFonts w:hint="eastAsia" w:ascii="宋体" w:hAnsi="宋体"/>
                <w:kern w:val="0"/>
              </w:rPr>
              <w:t>-4分，一般3分以下。</w:t>
            </w:r>
          </w:p>
        </w:tc>
        <w:tc>
          <w:tcPr>
            <w:tcW w:w="1107" w:type="dxa"/>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22" w:hRule="atLeast"/>
          <w:jc w:val="center"/>
        </w:trPr>
        <w:tc>
          <w:tcPr>
            <w:tcW w:w="1352" w:type="dxa"/>
            <w:vMerge w:val="continue"/>
            <w:vAlign w:val="center"/>
          </w:tcPr>
          <w:p>
            <w:pPr>
              <w:widowControl/>
              <w:jc w:val="center"/>
              <w:rPr>
                <w:rFonts w:ascii="宋体" w:hAnsi="宋体"/>
                <w:kern w:val="0"/>
              </w:rPr>
            </w:pPr>
          </w:p>
        </w:tc>
        <w:tc>
          <w:tcPr>
            <w:tcW w:w="1917" w:type="dxa"/>
            <w:vAlign w:val="center"/>
          </w:tcPr>
          <w:p>
            <w:pPr>
              <w:jc w:val="center"/>
              <w:rPr>
                <w:rFonts w:ascii="宋体" w:hAnsi="宋体" w:eastAsia="宋体" w:cs="Times New Roman"/>
                <w:kern w:val="0"/>
                <w:sz w:val="21"/>
                <w:szCs w:val="21"/>
                <w:lang w:val="en-US" w:eastAsia="zh-CN" w:bidi="ar-SA"/>
              </w:rPr>
            </w:pPr>
            <w:r>
              <w:rPr>
                <w:rFonts w:ascii="宋体" w:hAnsi="宋体"/>
                <w:kern w:val="0"/>
              </w:rPr>
              <w:t>服务方案</w:t>
            </w:r>
          </w:p>
        </w:tc>
        <w:tc>
          <w:tcPr>
            <w:tcW w:w="783" w:type="dxa"/>
            <w:vAlign w:val="center"/>
          </w:tcPr>
          <w:p>
            <w:pPr>
              <w:jc w:val="center"/>
              <w:rPr>
                <w:rFonts w:hint="default" w:ascii="宋体" w:hAnsi="宋体" w:eastAsia="宋体" w:cs="Times New Roman"/>
                <w:kern w:val="0"/>
                <w:sz w:val="21"/>
                <w:szCs w:val="21"/>
                <w:lang w:val="en-US" w:eastAsia="zh-CN" w:bidi="ar-SA"/>
              </w:rPr>
            </w:pPr>
            <w:r>
              <w:rPr>
                <w:rFonts w:hint="eastAsia" w:ascii="宋体" w:hAnsi="宋体"/>
                <w:kern w:val="0"/>
              </w:rPr>
              <w:t>25</w:t>
            </w:r>
          </w:p>
        </w:tc>
        <w:tc>
          <w:tcPr>
            <w:tcW w:w="10117" w:type="dxa"/>
            <w:vAlign w:val="center"/>
          </w:tcPr>
          <w:p>
            <w:pPr>
              <w:rPr>
                <w:rFonts w:ascii="宋体" w:hAnsi="宋体" w:eastAsia="宋体" w:cs="Times New Roman"/>
                <w:kern w:val="0"/>
                <w:sz w:val="21"/>
                <w:szCs w:val="21"/>
                <w:lang w:val="en-US" w:eastAsia="zh-CN" w:bidi="ar-SA"/>
              </w:rPr>
            </w:pPr>
            <w:r>
              <w:rPr>
                <w:rFonts w:ascii="宋体" w:hAnsi="宋体"/>
                <w:kern w:val="0"/>
              </w:rPr>
              <w:t>根据供应商的服务方案，包括实施计划</w:t>
            </w:r>
            <w:r>
              <w:rPr>
                <w:rFonts w:hint="eastAsia" w:ascii="宋体" w:hAnsi="宋体"/>
                <w:kern w:val="0"/>
              </w:rPr>
              <w:t>、</w:t>
            </w:r>
            <w:r>
              <w:rPr>
                <w:rFonts w:ascii="宋体" w:hAnsi="宋体"/>
                <w:kern w:val="0"/>
              </w:rPr>
              <w:t>流程节点、</w:t>
            </w:r>
            <w:r>
              <w:rPr>
                <w:rFonts w:hint="eastAsia" w:ascii="宋体" w:hAnsi="宋体"/>
                <w:kern w:val="0"/>
              </w:rPr>
              <w:t>投入资源、响应时间、应急力量</w:t>
            </w:r>
            <w:r>
              <w:rPr>
                <w:rFonts w:ascii="宋体" w:hAnsi="宋体"/>
                <w:kern w:val="0"/>
              </w:rPr>
              <w:t>等是否完善</w:t>
            </w:r>
            <w:r>
              <w:rPr>
                <w:rFonts w:hint="eastAsia" w:ascii="宋体" w:hAnsi="宋体"/>
                <w:kern w:val="0"/>
              </w:rPr>
              <w:t>、</w:t>
            </w:r>
            <w:r>
              <w:rPr>
                <w:rFonts w:ascii="宋体" w:hAnsi="宋体"/>
                <w:kern w:val="0"/>
              </w:rPr>
              <w:t>可行，是否符合采购文件需求等进行综合比较。优</w:t>
            </w:r>
            <w:r>
              <w:rPr>
                <w:rFonts w:hint="eastAsia" w:ascii="宋体" w:hAnsi="宋体"/>
                <w:kern w:val="0"/>
              </w:rPr>
              <w:t>25</w:t>
            </w:r>
            <w:r>
              <w:rPr>
                <w:rFonts w:ascii="宋体" w:hAnsi="宋体"/>
                <w:kern w:val="0"/>
              </w:rPr>
              <w:t>-</w:t>
            </w:r>
            <w:r>
              <w:rPr>
                <w:rFonts w:hint="eastAsia" w:ascii="宋体" w:hAnsi="宋体"/>
                <w:kern w:val="0"/>
              </w:rPr>
              <w:t>20</w:t>
            </w:r>
            <w:r>
              <w:rPr>
                <w:rFonts w:ascii="宋体" w:hAnsi="宋体"/>
                <w:kern w:val="0"/>
              </w:rPr>
              <w:t>分，良</w:t>
            </w:r>
            <w:r>
              <w:rPr>
                <w:rFonts w:hint="eastAsia" w:ascii="宋体" w:hAnsi="宋体"/>
                <w:kern w:val="0"/>
              </w:rPr>
              <w:t>19</w:t>
            </w:r>
            <w:r>
              <w:rPr>
                <w:rFonts w:ascii="宋体" w:hAnsi="宋体"/>
                <w:kern w:val="0"/>
              </w:rPr>
              <w:t>-</w:t>
            </w:r>
            <w:r>
              <w:rPr>
                <w:rFonts w:hint="eastAsia" w:ascii="宋体" w:hAnsi="宋体"/>
                <w:kern w:val="0"/>
              </w:rPr>
              <w:t>15</w:t>
            </w:r>
            <w:r>
              <w:rPr>
                <w:rFonts w:ascii="宋体" w:hAnsi="宋体"/>
                <w:kern w:val="0"/>
              </w:rPr>
              <w:t>分，一般</w:t>
            </w:r>
            <w:r>
              <w:rPr>
                <w:rFonts w:hint="eastAsia" w:ascii="宋体" w:hAnsi="宋体"/>
                <w:kern w:val="0"/>
              </w:rPr>
              <w:t>15</w:t>
            </w:r>
            <w:r>
              <w:rPr>
                <w:rFonts w:ascii="宋体" w:hAnsi="宋体"/>
                <w:kern w:val="0"/>
              </w:rPr>
              <w:t>分以下。</w:t>
            </w:r>
          </w:p>
        </w:tc>
        <w:tc>
          <w:tcPr>
            <w:tcW w:w="1107" w:type="dxa"/>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85" w:hRule="atLeast"/>
          <w:jc w:val="center"/>
        </w:trPr>
        <w:tc>
          <w:tcPr>
            <w:tcW w:w="1352" w:type="dxa"/>
            <w:vMerge w:val="continue"/>
            <w:vAlign w:val="center"/>
          </w:tcPr>
          <w:p>
            <w:pPr>
              <w:widowControl/>
              <w:jc w:val="center"/>
              <w:rPr>
                <w:rFonts w:ascii="宋体" w:hAnsi="宋体"/>
                <w:kern w:val="0"/>
              </w:rPr>
            </w:pPr>
          </w:p>
        </w:tc>
        <w:tc>
          <w:tcPr>
            <w:tcW w:w="1917" w:type="dxa"/>
            <w:vAlign w:val="center"/>
          </w:tcPr>
          <w:p>
            <w:pPr>
              <w:jc w:val="center"/>
              <w:rPr>
                <w:rFonts w:ascii="宋体" w:hAnsi="宋体" w:eastAsia="宋体" w:cs="Times New Roman"/>
                <w:kern w:val="0"/>
                <w:sz w:val="21"/>
                <w:szCs w:val="21"/>
                <w:lang w:val="en-US" w:eastAsia="zh-CN" w:bidi="ar-SA"/>
              </w:rPr>
            </w:pPr>
            <w:r>
              <w:rPr>
                <w:rFonts w:hint="eastAsia" w:ascii="宋体" w:hAnsi="宋体"/>
                <w:kern w:val="0"/>
              </w:rPr>
              <w:t>规章管理制度</w:t>
            </w:r>
          </w:p>
        </w:tc>
        <w:tc>
          <w:tcPr>
            <w:tcW w:w="783" w:type="dxa"/>
            <w:vAlign w:val="center"/>
          </w:tcPr>
          <w:p>
            <w:pPr>
              <w:widowControl/>
              <w:jc w:val="center"/>
              <w:rPr>
                <w:rFonts w:ascii="宋体" w:hAnsi="宋体" w:eastAsia="宋体" w:cs="Times New Roman"/>
                <w:kern w:val="0"/>
                <w:sz w:val="21"/>
                <w:szCs w:val="21"/>
                <w:lang w:val="en-US" w:eastAsia="zh-CN" w:bidi="ar-SA"/>
              </w:rPr>
            </w:pPr>
            <w:r>
              <w:rPr>
                <w:rFonts w:hint="eastAsia" w:ascii="宋体" w:hAnsi="宋体"/>
                <w:kern w:val="0"/>
              </w:rPr>
              <w:t>8</w:t>
            </w:r>
          </w:p>
        </w:tc>
        <w:tc>
          <w:tcPr>
            <w:tcW w:w="10117" w:type="dxa"/>
            <w:vAlign w:val="center"/>
          </w:tcPr>
          <w:p>
            <w:pPr>
              <w:widowControl/>
              <w:rPr>
                <w:rFonts w:ascii="宋体" w:hAnsi="宋体" w:eastAsia="宋体" w:cs="Times New Roman"/>
                <w:kern w:val="0"/>
                <w:sz w:val="21"/>
                <w:szCs w:val="21"/>
                <w:lang w:val="en-US" w:eastAsia="zh-CN" w:bidi="ar-SA"/>
              </w:rPr>
            </w:pPr>
            <w:r>
              <w:rPr>
                <w:rFonts w:hint="eastAsia" w:ascii="宋体" w:hAnsi="宋体"/>
                <w:kern w:val="0"/>
              </w:rPr>
              <w:t>提供完善制度，且制度措施有力，切实可行，操作性强的。优8-6分，良5-3分，一般2分以下。</w:t>
            </w:r>
          </w:p>
        </w:tc>
        <w:tc>
          <w:tcPr>
            <w:tcW w:w="1107" w:type="dxa"/>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9" w:hRule="atLeast"/>
          <w:jc w:val="center"/>
        </w:trPr>
        <w:tc>
          <w:tcPr>
            <w:tcW w:w="3269" w:type="dxa"/>
            <w:gridSpan w:val="2"/>
            <w:vAlign w:val="center"/>
          </w:tcPr>
          <w:p>
            <w:pPr>
              <w:jc w:val="center"/>
              <w:rPr>
                <w:rFonts w:hint="eastAsia" w:ascii="宋体" w:hAnsi="宋体" w:cs="宋体"/>
                <w:lang w:eastAsia="zh-CN"/>
              </w:rPr>
            </w:pPr>
            <w:r>
              <w:rPr>
                <w:rFonts w:hint="eastAsia" w:ascii="宋体" w:hAnsi="宋体" w:cs="宋体"/>
                <w:lang w:eastAsia="zh-CN"/>
              </w:rPr>
              <w:t>零配件报价</w:t>
            </w:r>
          </w:p>
          <w:p>
            <w:pPr>
              <w:jc w:val="center"/>
              <w:rPr>
                <w:rFonts w:ascii="宋体" w:hAnsi="宋体"/>
                <w:kern w:val="0"/>
              </w:rPr>
            </w:pPr>
            <w:r>
              <w:rPr>
                <w:rFonts w:ascii="宋体" w:hAnsi="宋体"/>
                <w:kern w:val="0"/>
              </w:rPr>
              <w:t>（</w:t>
            </w:r>
            <w:r>
              <w:rPr>
                <w:rFonts w:hint="eastAsia" w:ascii="宋体" w:hAnsi="宋体"/>
                <w:kern w:val="0"/>
                <w:lang w:val="en-US" w:eastAsia="zh-CN"/>
              </w:rPr>
              <w:t>25</w:t>
            </w:r>
            <w:r>
              <w:rPr>
                <w:rFonts w:hint="eastAsia" w:ascii="宋体" w:hAnsi="宋体"/>
                <w:kern w:val="0"/>
              </w:rPr>
              <w:t>分</w:t>
            </w:r>
            <w:r>
              <w:rPr>
                <w:rFonts w:ascii="宋体" w:hAnsi="宋体"/>
                <w:kern w:val="0"/>
              </w:rPr>
              <w:t>）</w:t>
            </w:r>
          </w:p>
        </w:tc>
        <w:tc>
          <w:tcPr>
            <w:tcW w:w="783" w:type="dxa"/>
            <w:vAlign w:val="center"/>
          </w:tcPr>
          <w:p>
            <w:pPr>
              <w:widowControl/>
              <w:jc w:val="center"/>
              <w:rPr>
                <w:rFonts w:hint="default" w:ascii="宋体" w:hAnsi="宋体" w:eastAsia="宋体"/>
                <w:kern w:val="0"/>
                <w:lang w:val="en-US" w:eastAsia="zh-CN"/>
              </w:rPr>
            </w:pPr>
            <w:r>
              <w:rPr>
                <w:rFonts w:hint="eastAsia" w:ascii="宋体" w:hAnsi="宋体"/>
                <w:kern w:val="0"/>
                <w:lang w:val="en-US" w:eastAsia="zh-CN"/>
              </w:rPr>
              <w:t>25</w:t>
            </w:r>
          </w:p>
        </w:tc>
        <w:tc>
          <w:tcPr>
            <w:tcW w:w="10117" w:type="dxa"/>
            <w:vAlign w:val="center"/>
          </w:tcPr>
          <w:p>
            <w:pPr>
              <w:widowControl/>
              <w:rPr>
                <w:rFonts w:hint="eastAsia" w:ascii="宋体" w:hAnsi="宋体" w:eastAsia="宋体"/>
                <w:color w:val="auto"/>
                <w:kern w:val="0"/>
                <w:lang w:eastAsia="zh-CN"/>
              </w:rPr>
            </w:pPr>
            <w:r>
              <w:rPr>
                <w:rFonts w:ascii="宋体" w:hAnsi="宋体"/>
                <w:color w:val="auto"/>
                <w:kern w:val="0"/>
              </w:rPr>
              <w:t>供应商</w:t>
            </w:r>
            <w:r>
              <w:rPr>
                <w:rFonts w:hint="eastAsia" w:ascii="宋体" w:hAnsi="宋体"/>
                <w:color w:val="auto"/>
                <w:kern w:val="0"/>
                <w:lang w:eastAsia="zh-CN"/>
              </w:rPr>
              <w:t>根据《维修项目报价》对清单零配件进行报价，以价格合理性进行评分</w:t>
            </w:r>
            <w:r>
              <w:rPr>
                <w:rFonts w:hint="eastAsia" w:ascii="宋体" w:hAnsi="宋体"/>
                <w:kern w:val="0"/>
                <w:lang w:eastAsia="zh-CN"/>
              </w:rPr>
              <w:t>。</w:t>
            </w:r>
          </w:p>
        </w:tc>
        <w:tc>
          <w:tcPr>
            <w:tcW w:w="1107" w:type="dxa"/>
            <w:vAlign w:val="center"/>
          </w:tcPr>
          <w:p>
            <w:pPr>
              <w:widowControl/>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83" w:hRule="atLeast"/>
          <w:jc w:val="center"/>
        </w:trPr>
        <w:tc>
          <w:tcPr>
            <w:tcW w:w="3269" w:type="dxa"/>
            <w:gridSpan w:val="2"/>
            <w:vAlign w:val="center"/>
          </w:tcPr>
          <w:p>
            <w:pPr>
              <w:widowControl/>
              <w:jc w:val="center"/>
              <w:rPr>
                <w:rFonts w:ascii="宋体" w:hAnsi="宋体"/>
                <w:kern w:val="0"/>
              </w:rPr>
            </w:pPr>
            <w:r>
              <w:rPr>
                <w:rFonts w:hint="eastAsia" w:ascii="宋体" w:hAnsi="宋体"/>
                <w:kern w:val="0"/>
              </w:rPr>
              <w:t>工时费</w:t>
            </w:r>
            <w:r>
              <w:rPr>
                <w:rFonts w:ascii="宋体" w:hAnsi="宋体"/>
                <w:kern w:val="0"/>
              </w:rPr>
              <w:t>报价</w:t>
            </w:r>
          </w:p>
          <w:p>
            <w:pPr>
              <w:widowControl/>
              <w:jc w:val="center"/>
              <w:rPr>
                <w:rFonts w:ascii="宋体" w:hAnsi="宋体"/>
                <w:kern w:val="0"/>
              </w:rPr>
            </w:pPr>
            <w:r>
              <w:rPr>
                <w:rFonts w:ascii="宋体" w:hAnsi="宋体"/>
                <w:kern w:val="0"/>
              </w:rPr>
              <w:t>（</w:t>
            </w:r>
            <w:r>
              <w:rPr>
                <w:rFonts w:hint="eastAsia" w:ascii="宋体" w:hAnsi="宋体"/>
                <w:kern w:val="0"/>
                <w:lang w:val="en-US" w:eastAsia="zh-CN"/>
              </w:rPr>
              <w:t>25</w:t>
            </w:r>
            <w:r>
              <w:rPr>
                <w:rFonts w:hint="eastAsia" w:ascii="宋体" w:hAnsi="宋体"/>
                <w:kern w:val="0"/>
              </w:rPr>
              <w:t>分</w:t>
            </w:r>
            <w:r>
              <w:rPr>
                <w:rFonts w:ascii="宋体" w:hAnsi="宋体"/>
                <w:kern w:val="0"/>
              </w:rPr>
              <w:t>）</w:t>
            </w:r>
          </w:p>
        </w:tc>
        <w:tc>
          <w:tcPr>
            <w:tcW w:w="783" w:type="dxa"/>
            <w:vAlign w:val="center"/>
          </w:tcPr>
          <w:p>
            <w:pPr>
              <w:widowControl/>
              <w:jc w:val="center"/>
              <w:rPr>
                <w:rFonts w:hint="default" w:ascii="宋体" w:hAnsi="宋体" w:eastAsia="宋体"/>
                <w:kern w:val="0"/>
                <w:lang w:val="en-US" w:eastAsia="zh-CN"/>
              </w:rPr>
            </w:pPr>
            <w:r>
              <w:rPr>
                <w:rFonts w:hint="eastAsia" w:ascii="宋体" w:hAnsi="宋体"/>
                <w:kern w:val="0"/>
                <w:lang w:val="en-US" w:eastAsia="zh-CN"/>
              </w:rPr>
              <w:t>25</w:t>
            </w:r>
          </w:p>
        </w:tc>
        <w:tc>
          <w:tcPr>
            <w:tcW w:w="10117" w:type="dxa"/>
            <w:vAlign w:val="center"/>
          </w:tcPr>
          <w:p>
            <w:pPr>
              <w:widowControl/>
              <w:rPr>
                <w:rFonts w:hint="default" w:eastAsia="宋体"/>
                <w:color w:val="auto"/>
                <w:sz w:val="21"/>
                <w:szCs w:val="21"/>
                <w:lang w:val="en-US" w:eastAsia="zh-CN"/>
              </w:rPr>
            </w:pPr>
            <w:r>
              <w:rPr>
                <w:rFonts w:hint="eastAsia" w:ascii="宋体" w:hAnsi="宋体"/>
                <w:color w:val="auto"/>
                <w:kern w:val="0"/>
              </w:rPr>
              <w:t>供应商根据《维修项目报价》，按照最高限价50元/小时（含），对工时费单价进行往下报价。超出最高限价的，该项不得分。等于或低于50元/小时的为有效报价，按照从低到高进行排名，价格最低的此项满分，排名每靠后一位的减2分，以此类推。</w:t>
            </w:r>
          </w:p>
        </w:tc>
        <w:tc>
          <w:tcPr>
            <w:tcW w:w="1107" w:type="dxa"/>
            <w:vAlign w:val="center"/>
          </w:tcPr>
          <w:p>
            <w:pPr>
              <w:widowControl/>
              <w:jc w:val="center"/>
              <w:rPr>
                <w:rFonts w:ascii="宋体" w:hAnsi="宋体"/>
                <w:kern w:val="0"/>
              </w:rPr>
            </w:pPr>
          </w:p>
          <w:p>
            <w:pPr>
              <w:widowControl/>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7" w:hRule="atLeast"/>
          <w:jc w:val="center"/>
        </w:trPr>
        <w:tc>
          <w:tcPr>
            <w:tcW w:w="3269" w:type="dxa"/>
            <w:gridSpan w:val="2"/>
            <w:vAlign w:val="center"/>
          </w:tcPr>
          <w:p>
            <w:pPr>
              <w:widowControl/>
              <w:jc w:val="center"/>
              <w:rPr>
                <w:rFonts w:ascii="宋体" w:hAnsi="宋体"/>
                <w:kern w:val="0"/>
              </w:rPr>
            </w:pPr>
            <w:r>
              <w:rPr>
                <w:rFonts w:ascii="宋体" w:hAnsi="宋体"/>
                <w:kern w:val="0"/>
              </w:rPr>
              <w:t>合  计</w:t>
            </w:r>
          </w:p>
        </w:tc>
        <w:tc>
          <w:tcPr>
            <w:tcW w:w="783" w:type="dxa"/>
            <w:vAlign w:val="center"/>
          </w:tcPr>
          <w:p>
            <w:pPr>
              <w:widowControl/>
              <w:jc w:val="center"/>
              <w:rPr>
                <w:rFonts w:ascii="宋体" w:hAnsi="宋体"/>
                <w:kern w:val="0"/>
              </w:rPr>
            </w:pPr>
            <w:r>
              <w:rPr>
                <w:rFonts w:hint="eastAsia" w:ascii="宋体" w:hAnsi="宋体"/>
                <w:kern w:val="0"/>
              </w:rPr>
              <w:t>100</w:t>
            </w:r>
          </w:p>
        </w:tc>
        <w:tc>
          <w:tcPr>
            <w:tcW w:w="10117" w:type="dxa"/>
            <w:vAlign w:val="center"/>
          </w:tcPr>
          <w:p>
            <w:pPr>
              <w:widowControl/>
              <w:jc w:val="center"/>
              <w:rPr>
                <w:rFonts w:ascii="宋体" w:hAnsi="宋体"/>
                <w:kern w:val="0"/>
              </w:rPr>
            </w:pPr>
          </w:p>
        </w:tc>
        <w:tc>
          <w:tcPr>
            <w:tcW w:w="1107" w:type="dxa"/>
            <w:vAlign w:val="center"/>
          </w:tcPr>
          <w:p>
            <w:pPr>
              <w:jc w:val="center"/>
              <w:rPr>
                <w:rFonts w:ascii="宋体" w:hAnsi="宋体"/>
                <w:kern w:val="0"/>
              </w:rPr>
            </w:pPr>
          </w:p>
          <w:p>
            <w:pPr>
              <w:rPr>
                <w:rFonts w:ascii="宋体" w:hAnsi="宋体"/>
                <w:kern w:val="0"/>
              </w:rPr>
            </w:pPr>
          </w:p>
        </w:tc>
      </w:tr>
    </w:tbl>
    <w:p>
      <w:pPr>
        <w:pStyle w:val="2"/>
      </w:pPr>
    </w:p>
    <w:sectPr>
      <w:pgSz w:w="16838" w:h="11906" w:orient="landscape"/>
      <w:pgMar w:top="720" w:right="720" w:bottom="720" w:left="72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MingLiU">
    <w:panose1 w:val="02020509000000000000"/>
    <w:charset w:val="88"/>
    <w:family w:val="modern"/>
    <w:pitch w:val="default"/>
    <w:sig w:usb0="A00002FF" w:usb1="28CFFCFA"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rFonts w:asciiTheme="minorEastAsia" w:hAnsiTheme="minorEastAsia" w:eastAsiaTheme="minorEastAsia"/>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MDU3Y2VhZjlhNjJkMDE0MGE2NGJiNDczNTA5MWMifQ=="/>
    <w:docVar w:name="KGWebUrl" w:val="http://19.121.241.45/seeyon/officeservlet"/>
  </w:docVars>
  <w:rsids>
    <w:rsidRoot w:val="5FDA3E7F"/>
    <w:rsid w:val="000149F6"/>
    <w:rsid w:val="00072B4B"/>
    <w:rsid w:val="0009653E"/>
    <w:rsid w:val="000F6568"/>
    <w:rsid w:val="001203DD"/>
    <w:rsid w:val="00130987"/>
    <w:rsid w:val="0015444C"/>
    <w:rsid w:val="0016305F"/>
    <w:rsid w:val="00171D34"/>
    <w:rsid w:val="001A4FDD"/>
    <w:rsid w:val="001D0A6F"/>
    <w:rsid w:val="001D1D4C"/>
    <w:rsid w:val="001E2477"/>
    <w:rsid w:val="002021F9"/>
    <w:rsid w:val="002440D4"/>
    <w:rsid w:val="00244CDC"/>
    <w:rsid w:val="00256672"/>
    <w:rsid w:val="00271C46"/>
    <w:rsid w:val="0027528A"/>
    <w:rsid w:val="002D5197"/>
    <w:rsid w:val="002F7CD5"/>
    <w:rsid w:val="0031139D"/>
    <w:rsid w:val="003128D6"/>
    <w:rsid w:val="0031665C"/>
    <w:rsid w:val="003305A6"/>
    <w:rsid w:val="00340936"/>
    <w:rsid w:val="00367E9D"/>
    <w:rsid w:val="00375618"/>
    <w:rsid w:val="00410EBE"/>
    <w:rsid w:val="004362A3"/>
    <w:rsid w:val="004B0DF1"/>
    <w:rsid w:val="004C7A93"/>
    <w:rsid w:val="004F1366"/>
    <w:rsid w:val="004F60CF"/>
    <w:rsid w:val="00514ABA"/>
    <w:rsid w:val="005272B6"/>
    <w:rsid w:val="00532A2D"/>
    <w:rsid w:val="00581288"/>
    <w:rsid w:val="005A34CA"/>
    <w:rsid w:val="00604D0E"/>
    <w:rsid w:val="00620F92"/>
    <w:rsid w:val="00626FA1"/>
    <w:rsid w:val="0068795D"/>
    <w:rsid w:val="006A0419"/>
    <w:rsid w:val="006A4E00"/>
    <w:rsid w:val="006D6B97"/>
    <w:rsid w:val="006E7315"/>
    <w:rsid w:val="006F6D61"/>
    <w:rsid w:val="0074383E"/>
    <w:rsid w:val="00755341"/>
    <w:rsid w:val="007B05B0"/>
    <w:rsid w:val="007D6EE2"/>
    <w:rsid w:val="007E18D4"/>
    <w:rsid w:val="007F5017"/>
    <w:rsid w:val="008550E0"/>
    <w:rsid w:val="00882A81"/>
    <w:rsid w:val="008B5178"/>
    <w:rsid w:val="008E3E6D"/>
    <w:rsid w:val="008F6626"/>
    <w:rsid w:val="0090735E"/>
    <w:rsid w:val="009658AD"/>
    <w:rsid w:val="00970F05"/>
    <w:rsid w:val="00984883"/>
    <w:rsid w:val="009D2951"/>
    <w:rsid w:val="00A26C31"/>
    <w:rsid w:val="00A359D3"/>
    <w:rsid w:val="00A42A1E"/>
    <w:rsid w:val="00A918FB"/>
    <w:rsid w:val="00AA1788"/>
    <w:rsid w:val="00B17CC6"/>
    <w:rsid w:val="00B4119B"/>
    <w:rsid w:val="00B4439D"/>
    <w:rsid w:val="00B52BF1"/>
    <w:rsid w:val="00B5675C"/>
    <w:rsid w:val="00B614E0"/>
    <w:rsid w:val="00B6735B"/>
    <w:rsid w:val="00B86BA6"/>
    <w:rsid w:val="00C20E22"/>
    <w:rsid w:val="00C25867"/>
    <w:rsid w:val="00C63139"/>
    <w:rsid w:val="00C809AA"/>
    <w:rsid w:val="00CC1947"/>
    <w:rsid w:val="00CC6EBF"/>
    <w:rsid w:val="00CE3524"/>
    <w:rsid w:val="00CF0E3A"/>
    <w:rsid w:val="00D16DD7"/>
    <w:rsid w:val="00D42ABC"/>
    <w:rsid w:val="00D94F86"/>
    <w:rsid w:val="00DA567B"/>
    <w:rsid w:val="00DA7D8F"/>
    <w:rsid w:val="00DB56C0"/>
    <w:rsid w:val="00DD2B4D"/>
    <w:rsid w:val="00DD5414"/>
    <w:rsid w:val="00DF4637"/>
    <w:rsid w:val="00E52328"/>
    <w:rsid w:val="00E600FE"/>
    <w:rsid w:val="00EA1092"/>
    <w:rsid w:val="00EA1FC0"/>
    <w:rsid w:val="00EB2796"/>
    <w:rsid w:val="00EF0ED9"/>
    <w:rsid w:val="00F04171"/>
    <w:rsid w:val="00F100E0"/>
    <w:rsid w:val="00F72AD7"/>
    <w:rsid w:val="053E25DD"/>
    <w:rsid w:val="07F31225"/>
    <w:rsid w:val="084D1FF9"/>
    <w:rsid w:val="099F7B11"/>
    <w:rsid w:val="0E823830"/>
    <w:rsid w:val="0F7C39B0"/>
    <w:rsid w:val="10E549A1"/>
    <w:rsid w:val="14DC4224"/>
    <w:rsid w:val="1F4C5CAB"/>
    <w:rsid w:val="252561EE"/>
    <w:rsid w:val="255B30EF"/>
    <w:rsid w:val="270237C3"/>
    <w:rsid w:val="281D3002"/>
    <w:rsid w:val="2B8A3E01"/>
    <w:rsid w:val="2F1422BD"/>
    <w:rsid w:val="2FAC7A81"/>
    <w:rsid w:val="32D56BB5"/>
    <w:rsid w:val="37896B48"/>
    <w:rsid w:val="38647A3B"/>
    <w:rsid w:val="3884708A"/>
    <w:rsid w:val="3CFB6F84"/>
    <w:rsid w:val="425139E4"/>
    <w:rsid w:val="5211523C"/>
    <w:rsid w:val="58D304A6"/>
    <w:rsid w:val="590B454D"/>
    <w:rsid w:val="59BA4C4C"/>
    <w:rsid w:val="5A7B1263"/>
    <w:rsid w:val="5C9D4E93"/>
    <w:rsid w:val="5FDA3E7F"/>
    <w:rsid w:val="724E3EEE"/>
    <w:rsid w:val="729E2353"/>
    <w:rsid w:val="76FC2CDD"/>
    <w:rsid w:val="7762625C"/>
    <w:rsid w:val="7A941B60"/>
    <w:rsid w:val="7BBD55E8"/>
    <w:rsid w:val="7DA20826"/>
    <w:rsid w:val="7FE5DB79"/>
    <w:rsid w:val="BAEFD3DB"/>
    <w:rsid w:val="BAF77D43"/>
    <w:rsid w:val="EEBD47C3"/>
    <w:rsid w:val="FBEF5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3">
    <w:name w:val="annotation text"/>
    <w:basedOn w:val="1"/>
    <w:link w:val="13"/>
    <w:qFormat/>
    <w:uiPriority w:val="0"/>
  </w:style>
  <w:style w:type="paragraph" w:styleId="4">
    <w:name w:val="Balloon Text"/>
    <w:basedOn w:val="1"/>
    <w:link w:val="15"/>
    <w:qFormat/>
    <w:uiPriority w:val="0"/>
    <w:pPr>
      <w:spacing w:line="240" w:lineRule="auto"/>
    </w:pPr>
    <w:rPr>
      <w:sz w:val="18"/>
      <w:szCs w:val="18"/>
    </w:rPr>
  </w:style>
  <w:style w:type="paragraph" w:styleId="5">
    <w:name w:val="footer"/>
    <w:basedOn w:val="1"/>
    <w:link w:val="17"/>
    <w:qFormat/>
    <w:uiPriority w:val="0"/>
    <w:pPr>
      <w:tabs>
        <w:tab w:val="center" w:pos="4153"/>
        <w:tab w:val="right" w:pos="8306"/>
      </w:tabs>
      <w:snapToGrid w:val="0"/>
      <w:spacing w:line="240" w:lineRule="atLeas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3"/>
    <w:next w:val="3"/>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正文文本 (2) + 间距 0 pt3"/>
    <w:qFormat/>
    <w:uiPriority w:val="99"/>
    <w:rPr>
      <w:rFonts w:ascii="MingLiU" w:eastAsia="MingLiU" w:cs="MingLiU"/>
      <w:spacing w:val="0"/>
      <w:sz w:val="22"/>
      <w:szCs w:val="22"/>
      <w:u w:val="none"/>
    </w:rPr>
  </w:style>
  <w:style w:type="character" w:customStyle="1" w:styleId="13">
    <w:name w:val="批注文字 Char"/>
    <w:link w:val="3"/>
    <w:qFormat/>
    <w:uiPriority w:val="0"/>
    <w:rPr>
      <w:kern w:val="2"/>
      <w:sz w:val="21"/>
      <w:szCs w:val="21"/>
    </w:rPr>
  </w:style>
  <w:style w:type="character" w:customStyle="1" w:styleId="14">
    <w:name w:val="批注主题 Char"/>
    <w:link w:val="7"/>
    <w:qFormat/>
    <w:uiPriority w:val="0"/>
    <w:rPr>
      <w:b/>
      <w:bCs/>
      <w:kern w:val="2"/>
      <w:sz w:val="21"/>
      <w:szCs w:val="21"/>
    </w:rPr>
  </w:style>
  <w:style w:type="character" w:customStyle="1" w:styleId="15">
    <w:name w:val="批注框文本 Char"/>
    <w:link w:val="4"/>
    <w:qFormat/>
    <w:uiPriority w:val="0"/>
    <w:rPr>
      <w:kern w:val="2"/>
      <w:sz w:val="18"/>
      <w:szCs w:val="18"/>
    </w:rPr>
  </w:style>
  <w:style w:type="character" w:customStyle="1" w:styleId="16">
    <w:name w:val="页眉 Char"/>
    <w:link w:val="6"/>
    <w:qFormat/>
    <w:uiPriority w:val="0"/>
    <w:rPr>
      <w:kern w:val="2"/>
      <w:sz w:val="18"/>
      <w:szCs w:val="18"/>
    </w:rPr>
  </w:style>
  <w:style w:type="character" w:customStyle="1" w:styleId="17">
    <w:name w:val="页脚 Char"/>
    <w:link w:val="5"/>
    <w:qFormat/>
    <w:uiPriority w:val="0"/>
    <w:rPr>
      <w:kern w:val="2"/>
      <w:sz w:val="18"/>
      <w:szCs w:val="18"/>
    </w:rPr>
  </w:style>
  <w:style w:type="character" w:customStyle="1" w:styleId="18">
    <w:name w:val="fontstyle01"/>
    <w:qFormat/>
    <w:uiPriority w:val="0"/>
    <w:rPr>
      <w:rFonts w:hint="eastAsia" w:ascii="宋体" w:hAnsi="宋体" w:eastAsia="宋体"/>
      <w:color w:val="000000"/>
      <w:sz w:val="22"/>
      <w:szCs w:val="22"/>
    </w:rPr>
  </w:style>
  <w:style w:type="character" w:styleId="19">
    <w:name w:val="Placeholder Text"/>
    <w:basedOn w:val="10"/>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江门市公路局</Company>
  <Pages>2</Pages>
  <Words>178</Words>
  <Characters>1017</Characters>
  <Lines>8</Lines>
  <Paragraphs>2</Paragraphs>
  <TotalTime>1</TotalTime>
  <ScaleCrop>false</ScaleCrop>
  <LinksUpToDate>false</LinksUpToDate>
  <CharactersWithSpaces>1193</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2024-05-14T02:20:00Z</dcterms:created>
  <dc:creator>区展锴</dc:creator>
  <cp:lastModifiedBy>greatwall</cp:lastModifiedBy>
  <cp:lastPrinted>2022-07-23T03:46:00Z</cp:lastPrinted>
  <dcterms:modified xsi:type="dcterms:W3CDTF">2025-04-01T16:06:55Z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366643D950BC4AFF962BA1E5E68284EF</vt:lpwstr>
  </property>
</Properties>
</file>