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091EC">
      <w:pPr>
        <w:spacing w:line="500" w:lineRule="exact"/>
        <w:jc w:val="center"/>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en-US" w:eastAsia="zh-CN"/>
        </w:rPr>
        <w:t>2025年度</w:t>
      </w:r>
      <w:r>
        <w:rPr>
          <w:rFonts w:hint="eastAsia" w:ascii="方正小标宋简体" w:hAnsi="方正小标宋简体" w:eastAsia="方正小标宋简体" w:cs="方正小标宋简体"/>
          <w:sz w:val="36"/>
          <w:szCs w:val="36"/>
          <w:lang w:val="zh-CN" w:eastAsia="zh-CN"/>
        </w:rPr>
        <w:t>蓬江区污水截污管网、污水提升泵站清疏</w:t>
      </w:r>
    </w:p>
    <w:p w14:paraId="18311FC8">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zh-CN" w:eastAsia="zh-CN"/>
        </w:rPr>
        <w:t>维护服务</w:t>
      </w:r>
      <w:r>
        <w:rPr>
          <w:rFonts w:hint="eastAsia" w:ascii="方正小标宋简体" w:hAnsi="方正小标宋简体" w:eastAsia="方正小标宋简体" w:cs="方正小标宋简体"/>
          <w:sz w:val="36"/>
          <w:szCs w:val="36"/>
          <w:lang w:val="en-US" w:eastAsia="zh-CN"/>
        </w:rPr>
        <w:t>项目</w:t>
      </w:r>
      <w:r>
        <w:rPr>
          <w:rFonts w:hint="eastAsia" w:ascii="方正小标宋简体" w:hAnsi="方正小标宋简体" w:eastAsia="方正小标宋简体" w:cs="方正小标宋简体"/>
          <w:sz w:val="36"/>
          <w:szCs w:val="36"/>
        </w:rPr>
        <w:t>采购评分标准</w:t>
      </w:r>
    </w:p>
    <w:p w14:paraId="797A0CB7">
      <w:pPr>
        <w:spacing w:line="500" w:lineRule="exact"/>
        <w:jc w:val="center"/>
        <w:rPr>
          <w:rFonts w:hint="eastAsia" w:ascii="方正小标宋简体" w:hAnsi="方正小标宋简体" w:eastAsia="方正小标宋简体" w:cs="方正小标宋简体"/>
          <w:sz w:val="36"/>
          <w:szCs w:val="36"/>
        </w:rPr>
      </w:pPr>
    </w:p>
    <w:p w14:paraId="449D014C">
      <w:pPr>
        <w:spacing w:line="360" w:lineRule="auto"/>
        <w:ind w:firstLine="420" w:firstLineChars="200"/>
        <w:rPr>
          <w:rFonts w:ascii="宋体" w:hAnsi="宋体" w:cs="宋体"/>
        </w:rPr>
      </w:pPr>
      <w:r>
        <w:rPr>
          <w:rFonts w:hint="eastAsia" w:ascii="宋体" w:hAnsi="宋体" w:cs="宋体"/>
        </w:rPr>
        <w:t>一、评分选取方式</w:t>
      </w:r>
    </w:p>
    <w:p w14:paraId="6B3CCFDA">
      <w:pPr>
        <w:spacing w:line="360" w:lineRule="auto"/>
        <w:ind w:firstLine="420" w:firstLineChars="200"/>
        <w:rPr>
          <w:rFonts w:ascii="宋体" w:hAnsi="宋体" w:cs="宋体"/>
          <w:highlight w:val="yellow"/>
        </w:rPr>
      </w:pPr>
      <w:r>
        <w:rPr>
          <w:rFonts w:hint="eastAsia" w:ascii="宋体" w:hAnsi="宋体" w:cs="宋体"/>
        </w:rPr>
        <w:t>本次采购为采购人通过自主采购的方式确定中选机构。评选标准为采购人按照评分标准对参评</w:t>
      </w:r>
      <w:r>
        <w:rPr>
          <w:rFonts w:hint="eastAsia" w:ascii="宋体" w:hAnsi="宋体" w:cs="宋体"/>
          <w:lang w:eastAsia="zh-CN"/>
        </w:rPr>
        <w:t>单位</w:t>
      </w:r>
      <w:r>
        <w:rPr>
          <w:rFonts w:hint="eastAsia" w:ascii="宋体" w:hAnsi="宋体" w:cs="宋体"/>
        </w:rPr>
        <w:t>提供的有效材料进行综合评分，评分步骤分为初审和详细评审。详细评审时，采购人对照《项目评分表》进行逐项评分。计算出各评审因素的算术平均值后合计总和作为该供应商的</w:t>
      </w:r>
      <w:r>
        <w:rPr>
          <w:rFonts w:hint="eastAsia" w:ascii="宋体" w:hAnsi="宋体" w:cs="宋体"/>
          <w:highlight w:val="none"/>
        </w:rPr>
        <w:t>得分，并按得分由高到低顺序确定中选机构。</w:t>
      </w:r>
    </w:p>
    <w:p w14:paraId="32D46DE8">
      <w:pPr>
        <w:spacing w:line="360" w:lineRule="auto"/>
        <w:ind w:firstLine="420" w:firstLineChars="200"/>
        <w:rPr>
          <w:rFonts w:ascii="宋体" w:hAnsi="宋体" w:cs="宋体"/>
        </w:rPr>
      </w:pPr>
      <w:r>
        <w:rPr>
          <w:rFonts w:hint="eastAsia" w:ascii="仿宋_GB2312" w:hAnsi="华文仿宋"/>
          <w:szCs w:val="32"/>
        </w:rPr>
        <w:t>如有两家或以上供应商的综合得分相同且得分均为最高，</w:t>
      </w:r>
      <w:r>
        <w:rPr>
          <w:rFonts w:hint="eastAsia" w:ascii="宋体" w:hAnsi="宋体" w:cs="宋体"/>
        </w:rPr>
        <w:t>评分小组视供应商的情况综合比较，投票确定其名次。</w:t>
      </w:r>
    </w:p>
    <w:p w14:paraId="2E86C3FF">
      <w:pPr>
        <w:spacing w:line="360" w:lineRule="auto"/>
        <w:ind w:firstLine="420" w:firstLineChars="200"/>
      </w:pPr>
      <w:r>
        <w:rPr>
          <w:rFonts w:hint="eastAsia" w:ascii="宋体" w:hAnsi="宋体" w:cs="宋体"/>
        </w:rPr>
        <w:t>二、初步评审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3F6E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1809" w:type="dxa"/>
            <w:shd w:val="clear" w:color="auto" w:fill="auto"/>
            <w:vAlign w:val="center"/>
          </w:tcPr>
          <w:p w14:paraId="516F9EF4">
            <w:pPr>
              <w:spacing w:line="360" w:lineRule="auto"/>
              <w:jc w:val="center"/>
              <w:rPr>
                <w:rFonts w:ascii="宋体" w:hAnsi="宋体" w:cs="宋体"/>
                <w:b/>
              </w:rPr>
            </w:pPr>
            <w:r>
              <w:rPr>
                <w:rFonts w:hint="eastAsia" w:ascii="宋体" w:hAnsi="宋体" w:cs="宋体"/>
                <w:b/>
              </w:rPr>
              <w:t>评审因素</w:t>
            </w:r>
          </w:p>
        </w:tc>
        <w:tc>
          <w:tcPr>
            <w:tcW w:w="6713" w:type="dxa"/>
            <w:shd w:val="clear" w:color="auto" w:fill="auto"/>
            <w:vAlign w:val="center"/>
          </w:tcPr>
          <w:p w14:paraId="42136363">
            <w:pPr>
              <w:spacing w:line="360" w:lineRule="auto"/>
              <w:jc w:val="center"/>
              <w:rPr>
                <w:rFonts w:ascii="宋体" w:hAnsi="宋体" w:cs="宋体"/>
                <w:b/>
              </w:rPr>
            </w:pPr>
            <w:r>
              <w:rPr>
                <w:rFonts w:hint="eastAsia" w:ascii="宋体" w:hAnsi="宋体" w:cs="宋体"/>
                <w:b/>
              </w:rPr>
              <w:t>评审标准</w:t>
            </w:r>
          </w:p>
        </w:tc>
      </w:tr>
      <w:tr w14:paraId="188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809" w:type="dxa"/>
            <w:shd w:val="clear" w:color="auto" w:fill="auto"/>
            <w:vAlign w:val="center"/>
          </w:tcPr>
          <w:p w14:paraId="39AC46F8">
            <w:pPr>
              <w:adjustRightInd/>
              <w:spacing w:line="360" w:lineRule="auto"/>
              <w:jc w:val="center"/>
              <w:rPr>
                <w:rFonts w:ascii="宋体" w:hAnsi="宋体" w:cs="宋体"/>
              </w:rPr>
            </w:pPr>
            <w:r>
              <w:rPr>
                <w:rFonts w:hint="eastAsia" w:ascii="宋体" w:hAnsi="宋体" w:cs="宋体"/>
              </w:rPr>
              <w:t>资质</w:t>
            </w:r>
          </w:p>
        </w:tc>
        <w:tc>
          <w:tcPr>
            <w:tcW w:w="6713" w:type="dxa"/>
            <w:shd w:val="clear" w:color="auto" w:fill="auto"/>
            <w:vAlign w:val="center"/>
          </w:tcPr>
          <w:p w14:paraId="3B688A01">
            <w:pPr>
              <w:adjustRightInd/>
              <w:spacing w:line="360" w:lineRule="auto"/>
              <w:jc w:val="both"/>
              <w:textAlignment w:val="auto"/>
              <w:rPr>
                <w:rFonts w:ascii="宋体" w:hAnsi="宋体" w:cs="宋体"/>
              </w:rPr>
            </w:pPr>
            <w:r>
              <w:rPr>
                <w:rFonts w:hint="eastAsia" w:ascii="宋体" w:hAnsi="宋体" w:cs="宋体"/>
              </w:rPr>
              <w:t>（1）在中华人民共和国境内依法注册的具有合法经营资格的独立法人；</w:t>
            </w:r>
          </w:p>
          <w:p w14:paraId="5D46BBB5">
            <w:pPr>
              <w:adjustRightInd/>
              <w:spacing w:line="360" w:lineRule="auto"/>
              <w:jc w:val="both"/>
              <w:textAlignment w:val="auto"/>
              <w:rPr>
                <w:rFonts w:hint="eastAsia" w:ascii="宋体" w:hAnsi="宋体" w:cs="宋体"/>
              </w:rPr>
            </w:pPr>
            <w:r>
              <w:rPr>
                <w:rFonts w:hint="eastAsia" w:ascii="宋体" w:hAnsi="宋体" w:cs="宋体"/>
              </w:rPr>
              <w:t>（2）</w:t>
            </w:r>
            <w:r>
              <w:rPr>
                <w:rFonts w:hint="eastAsia" w:ascii="宋体" w:hAnsi="宋体" w:cs="仿宋"/>
                <w:szCs w:val="21"/>
                <w:lang w:eastAsia="zh-CN"/>
              </w:rPr>
              <w:t>投标人</w:t>
            </w:r>
            <w:r>
              <w:rPr>
                <w:rFonts w:hint="eastAsia" w:ascii="宋体" w:hAnsi="宋体" w:cs="仿宋"/>
                <w:szCs w:val="21"/>
              </w:rPr>
              <w:t>营业执照经营范围</w:t>
            </w:r>
            <w:r>
              <w:rPr>
                <w:rFonts w:hint="eastAsia" w:ascii="宋体" w:hAnsi="宋体" w:cs="仿宋"/>
                <w:szCs w:val="21"/>
                <w:lang w:eastAsia="zh-CN"/>
              </w:rPr>
              <w:t>需包含下水道、市政工程维修施工，或</w:t>
            </w:r>
            <w:r>
              <w:rPr>
                <w:rFonts w:hint="eastAsia" w:ascii="宋体" w:hAnsi="宋体" w:cs="仿宋"/>
                <w:szCs w:val="21"/>
              </w:rPr>
              <w:t>具有建设主管部门核发的市政公用工程施工资质</w:t>
            </w:r>
            <w:r>
              <w:rPr>
                <w:rFonts w:hint="eastAsia" w:ascii="宋体" w:hAnsi="宋体" w:cs="仿宋"/>
                <w:szCs w:val="21"/>
                <w:lang w:eastAsia="zh-CN"/>
              </w:rPr>
              <w:t>，或</w:t>
            </w:r>
            <w:r>
              <w:rPr>
                <w:rFonts w:hint="eastAsia" w:ascii="宋体" w:hAnsi="宋体" w:cs="仿宋"/>
                <w:szCs w:val="21"/>
              </w:rPr>
              <w:t>具有建设主管部门核发的安全生产许可证</w:t>
            </w:r>
            <w:r>
              <w:rPr>
                <w:rFonts w:hint="eastAsia" w:ascii="宋体" w:hAnsi="宋体" w:cs="仿宋"/>
                <w:szCs w:val="21"/>
                <w:lang w:eastAsia="zh-CN"/>
              </w:rPr>
              <w:t>，</w:t>
            </w:r>
            <w:r>
              <w:rPr>
                <w:rFonts w:hint="eastAsia" w:ascii="宋体" w:hAnsi="宋体" w:cs="仿宋"/>
                <w:szCs w:val="21"/>
              </w:rPr>
              <w:t>且人员、设备、资金等方面具有相应的施工</w:t>
            </w:r>
            <w:r>
              <w:rPr>
                <w:rFonts w:hint="eastAsia" w:ascii="宋体" w:hAnsi="宋体" w:cs="仿宋"/>
                <w:szCs w:val="21"/>
                <w:lang w:eastAsia="zh-CN"/>
              </w:rPr>
              <w:t>作</w:t>
            </w:r>
            <w:r>
              <w:rPr>
                <w:rFonts w:hint="eastAsia" w:ascii="宋体" w:hAnsi="宋体" w:cs="宋体"/>
                <w:lang w:eastAsia="zh-CN"/>
              </w:rPr>
              <w:t>业</w:t>
            </w:r>
            <w:r>
              <w:rPr>
                <w:rFonts w:hint="eastAsia" w:ascii="宋体" w:hAnsi="宋体" w:cs="宋体"/>
              </w:rPr>
              <w:t>能力</w:t>
            </w:r>
            <w:r>
              <w:rPr>
                <w:rFonts w:hint="eastAsia" w:ascii="宋体" w:hAnsi="宋体" w:cs="宋体"/>
                <w:lang w:eastAsia="zh-CN"/>
              </w:rPr>
              <w:t>和水平</w:t>
            </w:r>
            <w:r>
              <w:rPr>
                <w:rFonts w:hint="eastAsia" w:ascii="宋体" w:hAnsi="宋体" w:cs="宋体"/>
              </w:rPr>
              <w:t>；</w:t>
            </w:r>
          </w:p>
          <w:p w14:paraId="320DEA55">
            <w:pPr>
              <w:adjustRightInd/>
              <w:spacing w:line="360" w:lineRule="auto"/>
              <w:jc w:val="both"/>
              <w:textAlignment w:val="auto"/>
            </w:pPr>
            <w:r>
              <w:rPr>
                <w:rFonts w:hint="eastAsia" w:ascii="宋体" w:hAnsi="宋体" w:cs="宋体"/>
              </w:rPr>
              <w:t>（</w:t>
            </w:r>
            <w:r>
              <w:rPr>
                <w:rFonts w:hint="eastAsia" w:ascii="宋体" w:hAnsi="宋体" w:cs="宋体"/>
                <w:lang w:val="en-US" w:eastAsia="zh-CN"/>
              </w:rPr>
              <w:t>3</w:t>
            </w:r>
            <w:r>
              <w:rPr>
                <w:rFonts w:hint="eastAsia" w:ascii="宋体" w:hAnsi="宋体" w:cs="宋体"/>
              </w:rPr>
              <w:t>）</w:t>
            </w:r>
            <w:r>
              <w:rPr>
                <w:rFonts w:hint="eastAsia" w:ascii="宋体" w:hAnsi="宋体" w:cs="宋体"/>
              </w:rPr>
              <w:t>不属于回避单位。</w:t>
            </w:r>
            <w:bookmarkStart w:id="0" w:name="_GoBack"/>
            <w:bookmarkEnd w:id="0"/>
          </w:p>
        </w:tc>
      </w:tr>
      <w:tr w14:paraId="3E5D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809" w:type="dxa"/>
            <w:shd w:val="clear" w:color="auto" w:fill="auto"/>
            <w:vAlign w:val="center"/>
          </w:tcPr>
          <w:p w14:paraId="6DEE8017">
            <w:pPr>
              <w:adjustRightInd/>
              <w:spacing w:line="360" w:lineRule="auto"/>
              <w:jc w:val="center"/>
              <w:rPr>
                <w:rFonts w:ascii="宋体" w:hAnsi="宋体" w:cs="宋体"/>
              </w:rPr>
            </w:pPr>
            <w:r>
              <w:rPr>
                <w:rFonts w:hint="eastAsia" w:ascii="宋体" w:hAnsi="宋体" w:cs="宋体"/>
              </w:rPr>
              <w:t>信用</w:t>
            </w:r>
          </w:p>
        </w:tc>
        <w:tc>
          <w:tcPr>
            <w:tcW w:w="6713" w:type="dxa"/>
            <w:shd w:val="clear" w:color="auto" w:fill="auto"/>
            <w:vAlign w:val="center"/>
          </w:tcPr>
          <w:p w14:paraId="34FC909F">
            <w:pPr>
              <w:adjustRightInd/>
              <w:spacing w:line="360" w:lineRule="auto"/>
              <w:jc w:val="both"/>
              <w:textAlignment w:val="auto"/>
              <w:rPr>
                <w:rFonts w:ascii="宋体" w:hAnsi="宋体" w:cs="宋体"/>
              </w:rPr>
            </w:pPr>
            <w:r>
              <w:rPr>
                <w:rFonts w:hint="eastAsia" w:ascii="宋体" w:hAnsi="宋体" w:cs="宋体"/>
              </w:rPr>
              <w:t>（1）供应商在国家企业信用信息公示系统中未被列入严重违法失信企业名单；</w:t>
            </w:r>
          </w:p>
          <w:p w14:paraId="44631391">
            <w:pPr>
              <w:adjustRightInd/>
              <w:spacing w:line="360" w:lineRule="auto"/>
              <w:jc w:val="both"/>
              <w:textAlignment w:val="auto"/>
              <w:rPr>
                <w:rFonts w:ascii="宋体" w:hAnsi="宋体" w:cs="宋体"/>
              </w:rPr>
            </w:pPr>
            <w:r>
              <w:rPr>
                <w:rFonts w:hint="eastAsia" w:ascii="宋体" w:hAnsi="宋体" w:cs="宋体"/>
              </w:rPr>
              <w:t>（2）在“信用中国”网站或地方信用网站的信用信息报告无不良记录。</w:t>
            </w:r>
          </w:p>
          <w:p w14:paraId="5B328E59">
            <w:pPr>
              <w:adjustRightInd/>
              <w:spacing w:before="156" w:beforeLines="50" w:line="360" w:lineRule="auto"/>
              <w:jc w:val="both"/>
              <w:textAlignment w:val="auto"/>
            </w:pPr>
            <w:r>
              <w:rPr>
                <w:rFonts w:hint="eastAsia" w:ascii="宋体" w:hAnsi="宋体" w:cs="宋体"/>
              </w:rPr>
              <w:t>注：如供应商未提交上述证明材料，则由评选小组核查；如供应商为事业单位，无法提供国家企业信用信息公示系统截图，则视作通过。</w:t>
            </w:r>
          </w:p>
        </w:tc>
      </w:tr>
      <w:tr w14:paraId="1B34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809" w:type="dxa"/>
            <w:shd w:val="clear" w:color="auto" w:fill="auto"/>
            <w:vAlign w:val="center"/>
          </w:tcPr>
          <w:p w14:paraId="3D513845">
            <w:pPr>
              <w:adjustRightInd/>
              <w:spacing w:line="360" w:lineRule="auto"/>
              <w:jc w:val="center"/>
              <w:rPr>
                <w:rFonts w:ascii="宋体" w:hAnsi="宋体" w:cs="宋体"/>
              </w:rPr>
            </w:pPr>
            <w:r>
              <w:rPr>
                <w:rFonts w:hint="eastAsia" w:ascii="宋体" w:hAnsi="宋体" w:cs="宋体"/>
              </w:rPr>
              <w:t>报价</w:t>
            </w:r>
          </w:p>
        </w:tc>
        <w:tc>
          <w:tcPr>
            <w:tcW w:w="6713" w:type="dxa"/>
            <w:shd w:val="clear" w:color="auto" w:fill="auto"/>
            <w:vAlign w:val="center"/>
          </w:tcPr>
          <w:p w14:paraId="3C4B508F">
            <w:pPr>
              <w:adjustRightInd/>
              <w:spacing w:line="360" w:lineRule="auto"/>
              <w:jc w:val="both"/>
              <w:rPr>
                <w:rFonts w:ascii="宋体" w:hAnsi="宋体" w:cs="宋体"/>
              </w:rPr>
            </w:pPr>
            <w:r>
              <w:rPr>
                <w:rFonts w:hint="eastAsia" w:cs="宋体"/>
              </w:rPr>
              <w:t>按采购人的要求进行有效报价，</w:t>
            </w:r>
            <w:r>
              <w:rPr>
                <w:rFonts w:hint="eastAsia" w:cs="宋体"/>
                <w:b w:val="0"/>
                <w:bCs w:val="0"/>
                <w:color w:val="auto"/>
                <w:sz w:val="21"/>
                <w:szCs w:val="21"/>
                <w:highlight w:val="none"/>
                <w:lang w:val="en-US" w:eastAsia="zh-CN"/>
              </w:rPr>
              <w:t>报价方式为下浮率报价，</w:t>
            </w:r>
            <w:r>
              <w:rPr>
                <w:rFonts w:hint="eastAsia"/>
                <w:color w:val="auto"/>
                <w:sz w:val="21"/>
                <w:szCs w:val="21"/>
                <w:highlight w:val="none"/>
                <w:lang w:val="en-US" w:eastAsia="zh-CN"/>
              </w:rPr>
              <w:t>投标报价下浮率小数点后保留两位</w:t>
            </w:r>
            <w:r>
              <w:rPr>
                <w:rFonts w:cs="宋体"/>
              </w:rPr>
              <w:t>。</w:t>
            </w:r>
          </w:p>
        </w:tc>
      </w:tr>
    </w:tbl>
    <w:p w14:paraId="0EBE7029">
      <w:pPr>
        <w:pStyle w:val="2"/>
        <w:sectPr>
          <w:headerReference r:id="rId5" w:type="default"/>
          <w:pgSz w:w="11906" w:h="16838"/>
          <w:pgMar w:top="1440" w:right="1800" w:bottom="1440" w:left="1800" w:header="567" w:footer="992" w:gutter="0"/>
          <w:cols w:space="720" w:num="1"/>
          <w:docGrid w:type="lines" w:linePitch="312" w:charSpace="0"/>
        </w:sectPr>
      </w:pPr>
    </w:p>
    <w:p w14:paraId="2955026B">
      <w:pPr>
        <w:spacing w:line="360" w:lineRule="auto"/>
        <w:ind w:firstLine="420" w:firstLineChars="200"/>
      </w:pPr>
      <w:r>
        <w:rPr>
          <w:rFonts w:hint="eastAsia" w:ascii="宋体" w:hAnsi="宋体" w:cs="宋体"/>
        </w:rPr>
        <w:t>三、详细评审</w:t>
      </w:r>
    </w:p>
    <w:p w14:paraId="3A5FDD7A">
      <w:pPr>
        <w:spacing w:line="600" w:lineRule="exact"/>
        <w:jc w:val="center"/>
        <w:rPr>
          <w:rFonts w:eastAsia="方正小标宋简体"/>
          <w:bCs/>
          <w:kern w:val="0"/>
          <w:sz w:val="44"/>
          <w:szCs w:val="44"/>
        </w:rPr>
      </w:pPr>
      <w:r>
        <w:rPr>
          <w:rFonts w:hint="eastAsia" w:eastAsia="方正小标宋简体"/>
          <w:bCs/>
          <w:kern w:val="0"/>
          <w:sz w:val="44"/>
          <w:szCs w:val="44"/>
          <w:lang w:val="en-US" w:eastAsia="zh-CN"/>
        </w:rPr>
        <w:t>2025年度</w:t>
      </w:r>
      <w:r>
        <w:rPr>
          <w:rFonts w:hint="eastAsia" w:eastAsia="方正小标宋简体"/>
          <w:bCs/>
          <w:kern w:val="0"/>
          <w:sz w:val="44"/>
          <w:szCs w:val="44"/>
          <w:lang w:val="zh-CN"/>
        </w:rPr>
        <w:t>蓬江区污水截污管网、污水提升泵站清疏维护服务采购项目</w:t>
      </w:r>
      <w:r>
        <w:rPr>
          <w:rFonts w:eastAsia="方正小标宋简体"/>
          <w:bCs/>
          <w:kern w:val="0"/>
          <w:sz w:val="44"/>
          <w:szCs w:val="44"/>
        </w:rPr>
        <w:t>评</w:t>
      </w:r>
      <w:r>
        <w:rPr>
          <w:rFonts w:hint="eastAsia" w:eastAsia="方正小标宋简体"/>
          <w:bCs/>
          <w:kern w:val="0"/>
          <w:sz w:val="44"/>
          <w:szCs w:val="44"/>
        </w:rPr>
        <w:t>分</w:t>
      </w:r>
      <w:r>
        <w:rPr>
          <w:rFonts w:eastAsia="方正小标宋简体"/>
          <w:bCs/>
          <w:kern w:val="0"/>
          <w:sz w:val="44"/>
          <w:szCs w:val="44"/>
        </w:rPr>
        <w:t>表</w:t>
      </w:r>
    </w:p>
    <w:tbl>
      <w:tblPr>
        <w:tblStyle w:val="9"/>
        <w:tblW w:w="4998" w:type="pct"/>
        <w:jc w:val="center"/>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Layout w:type="autofit"/>
        <w:tblCellMar>
          <w:top w:w="0" w:type="dxa"/>
          <w:left w:w="108" w:type="dxa"/>
          <w:bottom w:w="0" w:type="dxa"/>
          <w:right w:w="108" w:type="dxa"/>
        </w:tblCellMar>
      </w:tblPr>
      <w:tblGrid>
        <w:gridCol w:w="640"/>
        <w:gridCol w:w="1489"/>
        <w:gridCol w:w="10403"/>
        <w:gridCol w:w="1302"/>
        <w:gridCol w:w="1774"/>
      </w:tblGrid>
      <w:tr w14:paraId="2C7A62C1">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435" w:hRule="atLeast"/>
          <w:jc w:val="center"/>
        </w:trPr>
        <w:tc>
          <w:tcPr>
            <w:tcW w:w="205" w:type="pct"/>
            <w:tcBorders>
              <w:tl2br w:val="nil"/>
              <w:tr2bl w:val="nil"/>
            </w:tcBorders>
            <w:noWrap w:val="0"/>
            <w:vAlign w:val="center"/>
          </w:tcPr>
          <w:p w14:paraId="7933544D">
            <w:pPr>
              <w:spacing w:line="276" w:lineRule="auto"/>
              <w:jc w:val="center"/>
              <w:rPr>
                <w:rFonts w:ascii="宋体" w:hAnsi="宋体"/>
                <w:b/>
                <w:bCs/>
                <w:color w:val="auto"/>
                <w:szCs w:val="21"/>
                <w:highlight w:val="none"/>
              </w:rPr>
            </w:pPr>
            <w:r>
              <w:rPr>
                <w:rFonts w:hint="eastAsia" w:ascii="宋体" w:hAnsi="宋体" w:cs="宋体"/>
                <w:b/>
                <w:bCs/>
                <w:color w:val="auto"/>
                <w:szCs w:val="21"/>
                <w:highlight w:val="none"/>
              </w:rPr>
              <w:t>序号</w:t>
            </w:r>
          </w:p>
        </w:tc>
        <w:tc>
          <w:tcPr>
            <w:tcW w:w="476" w:type="pct"/>
            <w:tcBorders>
              <w:tl2br w:val="nil"/>
              <w:tr2bl w:val="nil"/>
            </w:tcBorders>
            <w:noWrap w:val="0"/>
            <w:vAlign w:val="center"/>
          </w:tcPr>
          <w:p w14:paraId="28C7441E">
            <w:pPr>
              <w:spacing w:line="276" w:lineRule="auto"/>
              <w:jc w:val="center"/>
              <w:rPr>
                <w:rFonts w:ascii="宋体" w:hAnsi="宋体"/>
                <w:b/>
                <w:bCs/>
                <w:color w:val="auto"/>
                <w:szCs w:val="21"/>
                <w:highlight w:val="none"/>
              </w:rPr>
            </w:pPr>
            <w:r>
              <w:rPr>
                <w:rFonts w:hint="eastAsia" w:ascii="宋体" w:hAnsi="宋体" w:cs="宋体"/>
                <w:b/>
                <w:bCs/>
                <w:color w:val="auto"/>
                <w:szCs w:val="21"/>
                <w:highlight w:val="none"/>
              </w:rPr>
              <w:t>评审项目</w:t>
            </w:r>
          </w:p>
        </w:tc>
        <w:tc>
          <w:tcPr>
            <w:tcW w:w="3332" w:type="pct"/>
            <w:tcBorders>
              <w:tl2br w:val="nil"/>
              <w:tr2bl w:val="nil"/>
            </w:tcBorders>
            <w:noWrap w:val="0"/>
            <w:vAlign w:val="center"/>
          </w:tcPr>
          <w:p w14:paraId="5809B63A">
            <w:pPr>
              <w:spacing w:line="276" w:lineRule="auto"/>
              <w:jc w:val="center"/>
              <w:rPr>
                <w:rFonts w:ascii="宋体" w:hAnsi="宋体"/>
                <w:b/>
                <w:bCs/>
                <w:color w:val="auto"/>
                <w:szCs w:val="21"/>
                <w:highlight w:val="none"/>
              </w:rPr>
            </w:pPr>
            <w:r>
              <w:rPr>
                <w:rFonts w:hint="eastAsia" w:ascii="宋体" w:hAnsi="宋体" w:cs="黑体"/>
                <w:kern w:val="0"/>
              </w:rPr>
              <w:t>评审标准分值</w:t>
            </w:r>
          </w:p>
        </w:tc>
        <w:tc>
          <w:tcPr>
            <w:tcW w:w="417" w:type="pct"/>
            <w:tcBorders>
              <w:tl2br w:val="nil"/>
              <w:tr2bl w:val="nil"/>
            </w:tcBorders>
            <w:noWrap w:val="0"/>
            <w:vAlign w:val="center"/>
          </w:tcPr>
          <w:p w14:paraId="00D341D6">
            <w:pPr>
              <w:spacing w:line="276" w:lineRule="auto"/>
              <w:jc w:val="center"/>
              <w:rPr>
                <w:rFonts w:ascii="宋体" w:hAnsi="宋体"/>
                <w:b/>
                <w:bCs/>
                <w:color w:val="auto"/>
                <w:szCs w:val="21"/>
                <w:highlight w:val="none"/>
              </w:rPr>
            </w:pPr>
            <w:r>
              <w:rPr>
                <w:rFonts w:hint="eastAsia" w:ascii="宋体" w:hAnsi="宋体" w:cs="宋体"/>
                <w:b/>
                <w:bCs/>
                <w:color w:val="auto"/>
                <w:szCs w:val="21"/>
                <w:highlight w:val="none"/>
              </w:rPr>
              <w:t>分值</w:t>
            </w:r>
          </w:p>
        </w:tc>
        <w:tc>
          <w:tcPr>
            <w:tcW w:w="568" w:type="pct"/>
            <w:tcBorders>
              <w:tl2br w:val="nil"/>
              <w:tr2bl w:val="nil"/>
            </w:tcBorders>
            <w:noWrap w:val="0"/>
            <w:vAlign w:val="center"/>
          </w:tcPr>
          <w:p w14:paraId="57C4FBBA">
            <w:pPr>
              <w:spacing w:line="276"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得分</w:t>
            </w:r>
          </w:p>
        </w:tc>
      </w:tr>
      <w:tr w14:paraId="5417D32A">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1290" w:hRule="atLeast"/>
          <w:jc w:val="center"/>
        </w:trPr>
        <w:tc>
          <w:tcPr>
            <w:tcW w:w="205" w:type="pct"/>
            <w:tcBorders>
              <w:tl2br w:val="nil"/>
              <w:tr2bl w:val="nil"/>
            </w:tcBorders>
            <w:noWrap w:val="0"/>
            <w:vAlign w:val="center"/>
          </w:tcPr>
          <w:p w14:paraId="12C00768">
            <w:pPr>
              <w:spacing w:line="276" w:lineRule="auto"/>
              <w:ind w:firstLine="14" w:firstLineChars="7"/>
              <w:jc w:val="center"/>
              <w:rPr>
                <w:rFonts w:hint="eastAsia" w:ascii="宋体" w:hAnsi="宋体" w:eastAsia="宋体"/>
                <w:color w:val="auto"/>
                <w:szCs w:val="21"/>
                <w:highlight w:val="none"/>
                <w:lang w:eastAsia="zh-CN"/>
              </w:rPr>
            </w:pPr>
            <w:r>
              <w:rPr>
                <w:rFonts w:hint="eastAsia"/>
                <w:color w:val="auto"/>
                <w:szCs w:val="21"/>
                <w:highlight w:val="none"/>
                <w:lang w:val="en-US" w:eastAsia="zh-CN"/>
              </w:rPr>
              <w:t>1</w:t>
            </w:r>
          </w:p>
        </w:tc>
        <w:tc>
          <w:tcPr>
            <w:tcW w:w="476" w:type="pct"/>
            <w:tcBorders>
              <w:tl2br w:val="nil"/>
              <w:tr2bl w:val="nil"/>
            </w:tcBorders>
            <w:noWrap w:val="0"/>
            <w:vAlign w:val="center"/>
          </w:tcPr>
          <w:p w14:paraId="6AA2D30B">
            <w:pPr>
              <w:spacing w:line="240" w:lineRule="auto"/>
              <w:jc w:val="center"/>
              <w:rPr>
                <w:rFonts w:ascii="宋体" w:hAnsi="宋体"/>
                <w:color w:val="auto"/>
                <w:szCs w:val="21"/>
                <w:highlight w:val="none"/>
              </w:rPr>
            </w:pPr>
            <w:r>
              <w:rPr>
                <w:rFonts w:hint="eastAsia" w:ascii="宋体" w:hAnsi="宋体" w:eastAsia="宋体" w:cs="宋体"/>
                <w:sz w:val="21"/>
                <w:szCs w:val="21"/>
                <w:lang w:val="en-US" w:eastAsia="zh-CN"/>
              </w:rPr>
              <w:t>同类业绩</w:t>
            </w:r>
          </w:p>
        </w:tc>
        <w:tc>
          <w:tcPr>
            <w:tcW w:w="3332" w:type="pct"/>
            <w:tcBorders>
              <w:tl2br w:val="nil"/>
              <w:tr2bl w:val="nil"/>
            </w:tcBorders>
            <w:noWrap w:val="0"/>
            <w:vAlign w:val="center"/>
          </w:tcPr>
          <w:p w14:paraId="2D8193B9">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投标人自2020年1月1日至投标截止时间止，在江门地区具有同类业绩每有一项得3分，无得0分。本项最高得15分。 </w:t>
            </w:r>
          </w:p>
          <w:p w14:paraId="62DD67AD">
            <w:pPr>
              <w:spacing w:line="240" w:lineRule="auto"/>
              <w:rPr>
                <w:rFonts w:hint="default" w:ascii="宋体" w:hAnsi="宋体" w:eastAsia="宋体" w:cs="宋体"/>
                <w:color w:val="auto"/>
                <w:szCs w:val="21"/>
                <w:highlight w:val="none"/>
                <w:lang w:val="en-US"/>
              </w:rPr>
            </w:pPr>
            <w:r>
              <w:rPr>
                <w:rFonts w:hint="eastAsia" w:ascii="宋体" w:hAnsi="宋体" w:eastAsia="宋体" w:cs="宋体"/>
                <w:sz w:val="21"/>
                <w:szCs w:val="21"/>
                <w:lang w:val="en-US" w:eastAsia="zh-CN"/>
              </w:rPr>
              <w:t>注：提供单次单项金额超过3万元的合同或协议的复印件，并加盖投标人公章，时间以合同签订时间为准。</w:t>
            </w:r>
          </w:p>
        </w:tc>
        <w:tc>
          <w:tcPr>
            <w:tcW w:w="417" w:type="pct"/>
            <w:tcBorders>
              <w:tl2br w:val="nil"/>
              <w:tr2bl w:val="nil"/>
            </w:tcBorders>
            <w:noWrap w:val="0"/>
            <w:vAlign w:val="center"/>
          </w:tcPr>
          <w:p w14:paraId="0CDB288C">
            <w:pPr>
              <w:spacing w:line="276" w:lineRule="auto"/>
              <w:jc w:val="center"/>
              <w:rPr>
                <w:rFonts w:hint="default" w:ascii="宋体" w:hAnsi="宋体" w:eastAsia="宋体" w:cs="宋体"/>
                <w:color w:val="auto"/>
                <w:szCs w:val="21"/>
                <w:highlight w:val="none"/>
                <w:lang w:val="en-US" w:eastAsia="zh-CN"/>
              </w:rPr>
            </w:pPr>
            <w:r>
              <w:rPr>
                <w:rFonts w:hint="eastAsia" w:cs="宋体"/>
                <w:color w:val="auto"/>
                <w:szCs w:val="21"/>
                <w:highlight w:val="none"/>
                <w:lang w:val="en-US" w:eastAsia="zh-CN"/>
              </w:rPr>
              <w:t>15</w:t>
            </w:r>
          </w:p>
        </w:tc>
        <w:tc>
          <w:tcPr>
            <w:tcW w:w="568" w:type="pct"/>
            <w:tcBorders>
              <w:tl2br w:val="nil"/>
              <w:tr2bl w:val="nil"/>
            </w:tcBorders>
            <w:noWrap w:val="0"/>
            <w:vAlign w:val="center"/>
          </w:tcPr>
          <w:p w14:paraId="527C5ED6">
            <w:pPr>
              <w:spacing w:line="276" w:lineRule="auto"/>
              <w:jc w:val="center"/>
              <w:rPr>
                <w:rFonts w:hint="eastAsia" w:cs="宋体"/>
                <w:color w:val="auto"/>
                <w:szCs w:val="21"/>
                <w:highlight w:val="none"/>
                <w:lang w:val="en-US" w:eastAsia="zh-CN"/>
              </w:rPr>
            </w:pPr>
          </w:p>
        </w:tc>
      </w:tr>
      <w:tr w14:paraId="61A282BB">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1093" w:hRule="atLeast"/>
          <w:jc w:val="center"/>
        </w:trPr>
        <w:tc>
          <w:tcPr>
            <w:tcW w:w="205" w:type="pct"/>
            <w:tcBorders>
              <w:tl2br w:val="nil"/>
              <w:tr2bl w:val="nil"/>
            </w:tcBorders>
            <w:noWrap w:val="0"/>
            <w:vAlign w:val="center"/>
          </w:tcPr>
          <w:p w14:paraId="57E7D243">
            <w:pPr>
              <w:spacing w:line="276" w:lineRule="auto"/>
              <w:ind w:firstLine="14" w:firstLineChars="7"/>
              <w:jc w:val="center"/>
              <w:rPr>
                <w:rFonts w:hint="default" w:ascii="宋体" w:hAnsi="宋体"/>
                <w:color w:val="auto"/>
                <w:szCs w:val="21"/>
                <w:highlight w:val="none"/>
                <w:lang w:val="en-US" w:eastAsia="zh-CN"/>
              </w:rPr>
            </w:pPr>
            <w:r>
              <w:rPr>
                <w:rFonts w:hint="eastAsia"/>
                <w:color w:val="auto"/>
                <w:szCs w:val="21"/>
                <w:highlight w:val="none"/>
                <w:lang w:val="en-US" w:eastAsia="zh-CN"/>
              </w:rPr>
              <w:t>2</w:t>
            </w:r>
          </w:p>
        </w:tc>
        <w:tc>
          <w:tcPr>
            <w:tcW w:w="476" w:type="pct"/>
            <w:tcBorders>
              <w:tl2br w:val="nil"/>
              <w:tr2bl w:val="nil"/>
            </w:tcBorders>
            <w:noWrap w:val="0"/>
            <w:vAlign w:val="center"/>
          </w:tcPr>
          <w:p w14:paraId="5918370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sz w:val="21"/>
                <w:szCs w:val="21"/>
              </w:rPr>
              <w:t>拟投入本项</w:t>
            </w:r>
            <w:r>
              <w:rPr>
                <w:rFonts w:hint="eastAsia" w:ascii="宋体" w:hAnsi="宋体" w:eastAsia="宋体" w:cs="宋体"/>
                <w:sz w:val="21"/>
                <w:szCs w:val="21"/>
                <w:lang w:eastAsia="zh-CN"/>
              </w:rPr>
              <w:t>目</w:t>
            </w:r>
            <w:r>
              <w:rPr>
                <w:rFonts w:hint="eastAsia" w:ascii="宋体" w:hAnsi="宋体" w:eastAsia="宋体" w:cs="宋体"/>
                <w:sz w:val="21"/>
                <w:szCs w:val="21"/>
              </w:rPr>
              <w:t>的设备</w:t>
            </w:r>
          </w:p>
        </w:tc>
        <w:tc>
          <w:tcPr>
            <w:tcW w:w="3332" w:type="pct"/>
            <w:tcBorders>
              <w:tl2br w:val="nil"/>
              <w:tr2bl w:val="nil"/>
            </w:tcBorders>
            <w:noWrap w:val="0"/>
            <w:vAlign w:val="center"/>
          </w:tcPr>
          <w:p w14:paraId="784CA281">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投标人自有或租赁的清洗吸污车、工程车数量，且</w:t>
            </w:r>
            <w:r>
              <w:rPr>
                <w:rFonts w:hint="eastAsia" w:ascii="宋体" w:hAnsi="宋体" w:eastAsia="宋体" w:cs="宋体"/>
                <w:sz w:val="21"/>
                <w:szCs w:val="21"/>
              </w:rPr>
              <w:t>满足</w:t>
            </w:r>
            <w:r>
              <w:rPr>
                <w:rFonts w:hint="eastAsia" w:ascii="宋体" w:hAnsi="宋体" w:eastAsia="宋体" w:cs="宋体"/>
                <w:sz w:val="21"/>
                <w:szCs w:val="21"/>
                <w:lang w:val="en-US" w:eastAsia="zh-CN"/>
              </w:rPr>
              <w:t>服务</w:t>
            </w:r>
            <w:r>
              <w:rPr>
                <w:rFonts w:hint="eastAsia" w:ascii="宋体" w:hAnsi="宋体" w:eastAsia="宋体" w:cs="宋体"/>
                <w:sz w:val="21"/>
                <w:szCs w:val="21"/>
              </w:rPr>
              <w:t>需要，年检合格，</w:t>
            </w:r>
            <w:r>
              <w:rPr>
                <w:rFonts w:hint="eastAsia" w:ascii="宋体" w:hAnsi="宋体" w:eastAsia="宋体" w:cs="宋体"/>
                <w:sz w:val="21"/>
                <w:szCs w:val="21"/>
                <w:lang w:eastAsia="zh-CN"/>
              </w:rPr>
              <w:t>按数量多少排序，第一名得</w:t>
            </w:r>
            <w:r>
              <w:rPr>
                <w:rFonts w:hint="eastAsia" w:ascii="宋体" w:hAnsi="宋体" w:eastAsia="宋体" w:cs="宋体"/>
                <w:sz w:val="21"/>
                <w:szCs w:val="21"/>
                <w:lang w:val="en-US" w:eastAsia="zh-CN"/>
              </w:rPr>
              <w:t>10分，第二名得7分，第三名得5分，第四名及之后得3分。</w:t>
            </w:r>
          </w:p>
          <w:p w14:paraId="552AA56D">
            <w:pPr>
              <w:pStyle w:val="3"/>
              <w:spacing w:line="24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sz w:val="21"/>
                <w:szCs w:val="21"/>
              </w:rPr>
              <w:t>注：投标人须</w:t>
            </w:r>
            <w:r>
              <w:rPr>
                <w:rFonts w:hint="eastAsia" w:ascii="宋体" w:hAnsi="宋体" w:eastAsia="宋体" w:cs="宋体"/>
                <w:sz w:val="21"/>
                <w:szCs w:val="21"/>
                <w:lang w:eastAsia="zh-CN"/>
              </w:rPr>
              <w:t>在投标文件</w:t>
            </w:r>
            <w:r>
              <w:rPr>
                <w:rFonts w:hint="eastAsia" w:ascii="宋体" w:hAnsi="宋体" w:eastAsia="宋体" w:cs="宋体"/>
                <w:sz w:val="21"/>
                <w:szCs w:val="21"/>
              </w:rPr>
              <w:t>提供</w:t>
            </w:r>
            <w:r>
              <w:rPr>
                <w:rFonts w:hint="eastAsia" w:ascii="宋体" w:hAnsi="宋体" w:eastAsia="宋体" w:cs="宋体"/>
                <w:sz w:val="21"/>
                <w:szCs w:val="21"/>
                <w:lang w:eastAsia="zh-CN"/>
              </w:rPr>
              <w:t>车辆设备的</w:t>
            </w:r>
            <w:r>
              <w:rPr>
                <w:rFonts w:hint="eastAsia" w:ascii="宋体" w:hAnsi="宋体" w:eastAsia="宋体" w:cs="宋体"/>
                <w:sz w:val="21"/>
                <w:szCs w:val="21"/>
              </w:rPr>
              <w:t>发票（或租赁合同）扫描件，并加盖投标人公章。</w:t>
            </w:r>
          </w:p>
        </w:tc>
        <w:tc>
          <w:tcPr>
            <w:tcW w:w="417" w:type="pct"/>
            <w:tcBorders>
              <w:tl2br w:val="nil"/>
              <w:tr2bl w:val="nil"/>
            </w:tcBorders>
            <w:noWrap w:val="0"/>
            <w:vAlign w:val="center"/>
          </w:tcPr>
          <w:p w14:paraId="68CAA783">
            <w:pPr>
              <w:spacing w:line="276" w:lineRule="auto"/>
              <w:jc w:val="center"/>
              <w:rPr>
                <w:rFonts w:hint="default" w:ascii="宋体" w:hAnsi="宋体" w:cs="宋体"/>
                <w:color w:val="auto"/>
                <w:szCs w:val="21"/>
                <w:highlight w:val="none"/>
                <w:lang w:val="en-US" w:eastAsia="zh-CN"/>
              </w:rPr>
            </w:pPr>
            <w:r>
              <w:rPr>
                <w:rFonts w:hint="eastAsia" w:cs="宋体"/>
                <w:color w:val="auto"/>
                <w:szCs w:val="21"/>
                <w:highlight w:val="none"/>
                <w:lang w:val="en-US" w:eastAsia="zh-CN"/>
              </w:rPr>
              <w:t>10</w:t>
            </w:r>
          </w:p>
        </w:tc>
        <w:tc>
          <w:tcPr>
            <w:tcW w:w="568" w:type="pct"/>
            <w:tcBorders>
              <w:tl2br w:val="nil"/>
              <w:tr2bl w:val="nil"/>
            </w:tcBorders>
            <w:noWrap w:val="0"/>
            <w:vAlign w:val="center"/>
          </w:tcPr>
          <w:p w14:paraId="25D72253">
            <w:pPr>
              <w:spacing w:line="276" w:lineRule="auto"/>
              <w:jc w:val="center"/>
              <w:rPr>
                <w:rFonts w:hint="eastAsia" w:cs="宋体"/>
                <w:color w:val="auto"/>
                <w:szCs w:val="21"/>
                <w:highlight w:val="none"/>
                <w:lang w:val="en-US" w:eastAsia="zh-CN"/>
              </w:rPr>
            </w:pPr>
          </w:p>
        </w:tc>
      </w:tr>
      <w:tr w14:paraId="13143AC9">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1290" w:hRule="atLeast"/>
          <w:jc w:val="center"/>
        </w:trPr>
        <w:tc>
          <w:tcPr>
            <w:tcW w:w="205" w:type="pct"/>
            <w:tcBorders>
              <w:tl2br w:val="nil"/>
              <w:tr2bl w:val="nil"/>
            </w:tcBorders>
            <w:noWrap w:val="0"/>
            <w:vAlign w:val="center"/>
          </w:tcPr>
          <w:p w14:paraId="2E35A821">
            <w:pPr>
              <w:spacing w:line="276" w:lineRule="auto"/>
              <w:ind w:firstLine="14" w:firstLineChars="7"/>
              <w:jc w:val="center"/>
              <w:rPr>
                <w:rFonts w:hint="default"/>
                <w:color w:val="auto"/>
                <w:szCs w:val="21"/>
                <w:highlight w:val="none"/>
                <w:lang w:val="en-US" w:eastAsia="zh-CN"/>
              </w:rPr>
            </w:pPr>
            <w:r>
              <w:rPr>
                <w:rFonts w:hint="eastAsia"/>
                <w:color w:val="auto"/>
                <w:szCs w:val="21"/>
                <w:highlight w:val="none"/>
                <w:lang w:val="en-US" w:eastAsia="zh-CN"/>
              </w:rPr>
              <w:t>3</w:t>
            </w:r>
          </w:p>
        </w:tc>
        <w:tc>
          <w:tcPr>
            <w:tcW w:w="476" w:type="pct"/>
            <w:tcBorders>
              <w:tl2br w:val="nil"/>
              <w:tr2bl w:val="nil"/>
            </w:tcBorders>
            <w:noWrap w:val="0"/>
            <w:vAlign w:val="center"/>
          </w:tcPr>
          <w:p w14:paraId="69BBB0F1">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tc>
        <w:tc>
          <w:tcPr>
            <w:tcW w:w="3332" w:type="pct"/>
            <w:tcBorders>
              <w:tl2br w:val="nil"/>
              <w:tr2bl w:val="nil"/>
            </w:tcBorders>
            <w:noWrap w:val="0"/>
            <w:vAlign w:val="center"/>
          </w:tcPr>
          <w:p w14:paraId="3A90FE7F">
            <w:pPr>
              <w:pStyle w:val="3"/>
              <w:numPr>
                <w:ilvl w:val="0"/>
                <w:numId w:val="0"/>
              </w:num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zh-CN"/>
              </w:rPr>
              <w:t>1.</w:t>
            </w:r>
            <w:r>
              <w:rPr>
                <w:rFonts w:hint="eastAsia" w:ascii="宋体" w:hAnsi="宋体" w:eastAsia="宋体" w:cs="宋体"/>
                <w:sz w:val="21"/>
                <w:szCs w:val="21"/>
                <w:lang w:val="en-US" w:eastAsia="zh-CN"/>
              </w:rPr>
              <w:t>投标人具有行业主管部门颁发的有效期内安全生产许可证，得</w:t>
            </w:r>
            <w:r>
              <w:rPr>
                <w:rFonts w:hint="default" w:ascii="宋体" w:hAnsi="宋体" w:eastAsia="宋体" w:cs="宋体"/>
                <w:sz w:val="21"/>
                <w:szCs w:val="21"/>
                <w:lang w:eastAsia="zh-CN"/>
              </w:rPr>
              <w:t>5</w:t>
            </w:r>
            <w:r>
              <w:rPr>
                <w:rFonts w:hint="eastAsia" w:ascii="宋体" w:hAnsi="宋体" w:eastAsia="宋体" w:cs="宋体"/>
                <w:sz w:val="21"/>
                <w:szCs w:val="21"/>
                <w:lang w:val="en-US" w:eastAsia="zh-CN"/>
              </w:rPr>
              <w:t>分。</w:t>
            </w:r>
          </w:p>
          <w:p w14:paraId="194A0DB7">
            <w:pPr>
              <w:pStyle w:val="3"/>
              <w:numPr>
                <w:ilvl w:val="0"/>
                <w:numId w:val="0"/>
              </w:num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2.投标人具有有限空间作业服务企业资质证书的，得</w:t>
            </w:r>
            <w:r>
              <w:rPr>
                <w:rFonts w:hint="default" w:ascii="宋体" w:hAnsi="宋体" w:eastAsia="宋体" w:cs="宋体"/>
                <w:sz w:val="21"/>
                <w:szCs w:val="21"/>
                <w:lang w:eastAsia="zh-CN"/>
              </w:rPr>
              <w:t>5</w:t>
            </w:r>
            <w:r>
              <w:rPr>
                <w:rFonts w:hint="eastAsia" w:ascii="宋体" w:hAnsi="宋体" w:eastAsia="宋体" w:cs="宋体"/>
                <w:sz w:val="21"/>
                <w:szCs w:val="21"/>
                <w:lang w:val="en-US" w:eastAsia="zh-CN"/>
              </w:rPr>
              <w:t>分。</w:t>
            </w:r>
          </w:p>
          <w:p w14:paraId="16F97DEC">
            <w:pPr>
              <w:pStyle w:val="3"/>
              <w:numPr>
                <w:ilvl w:val="0"/>
                <w:numId w:val="0"/>
              </w:numPr>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注：提供证书复印件加盖公章。以上1-2项合计最高得10分。</w:t>
            </w:r>
          </w:p>
        </w:tc>
        <w:tc>
          <w:tcPr>
            <w:tcW w:w="417" w:type="pct"/>
            <w:tcBorders>
              <w:tl2br w:val="nil"/>
              <w:tr2bl w:val="nil"/>
            </w:tcBorders>
            <w:noWrap w:val="0"/>
            <w:vAlign w:val="center"/>
          </w:tcPr>
          <w:p w14:paraId="119429CF">
            <w:pPr>
              <w:spacing w:line="276" w:lineRule="auto"/>
              <w:jc w:val="center"/>
              <w:rPr>
                <w:rFonts w:hint="default" w:cs="宋体"/>
                <w:color w:val="auto"/>
                <w:szCs w:val="21"/>
                <w:highlight w:val="none"/>
                <w:lang w:eastAsia="zh-CN"/>
              </w:rPr>
            </w:pPr>
            <w:r>
              <w:rPr>
                <w:rFonts w:hint="default" w:cs="宋体"/>
                <w:color w:val="auto"/>
                <w:szCs w:val="21"/>
                <w:highlight w:val="none"/>
                <w:lang w:eastAsia="zh-CN"/>
              </w:rPr>
              <w:t>10</w:t>
            </w:r>
          </w:p>
        </w:tc>
        <w:tc>
          <w:tcPr>
            <w:tcW w:w="568" w:type="pct"/>
            <w:tcBorders>
              <w:tl2br w:val="nil"/>
              <w:tr2bl w:val="nil"/>
            </w:tcBorders>
            <w:noWrap w:val="0"/>
            <w:vAlign w:val="center"/>
          </w:tcPr>
          <w:p w14:paraId="317CD137">
            <w:pPr>
              <w:spacing w:line="276" w:lineRule="auto"/>
              <w:jc w:val="center"/>
              <w:rPr>
                <w:rFonts w:hint="default" w:cs="宋体"/>
                <w:color w:val="auto"/>
                <w:szCs w:val="21"/>
                <w:highlight w:val="none"/>
                <w:lang w:eastAsia="zh-CN"/>
              </w:rPr>
            </w:pPr>
          </w:p>
        </w:tc>
      </w:tr>
      <w:tr w14:paraId="4E69922C">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1290" w:hRule="atLeast"/>
          <w:jc w:val="center"/>
        </w:trPr>
        <w:tc>
          <w:tcPr>
            <w:tcW w:w="205" w:type="pct"/>
            <w:tcBorders>
              <w:tl2br w:val="nil"/>
              <w:tr2bl w:val="nil"/>
            </w:tcBorders>
            <w:noWrap w:val="0"/>
            <w:vAlign w:val="center"/>
          </w:tcPr>
          <w:p w14:paraId="4652BCE6">
            <w:pPr>
              <w:spacing w:line="276" w:lineRule="auto"/>
              <w:ind w:firstLine="14" w:firstLineChars="7"/>
              <w:jc w:val="center"/>
              <w:rPr>
                <w:rFonts w:hint="default"/>
                <w:color w:val="auto"/>
                <w:szCs w:val="21"/>
                <w:highlight w:val="none"/>
                <w:lang w:val="en-US" w:eastAsia="zh-CN"/>
              </w:rPr>
            </w:pPr>
            <w:r>
              <w:rPr>
                <w:rFonts w:hint="eastAsia"/>
                <w:color w:val="auto"/>
                <w:szCs w:val="21"/>
                <w:highlight w:val="none"/>
                <w:lang w:val="en-US" w:eastAsia="zh-CN"/>
              </w:rPr>
              <w:t>4</w:t>
            </w:r>
          </w:p>
        </w:tc>
        <w:tc>
          <w:tcPr>
            <w:tcW w:w="476" w:type="pct"/>
            <w:tcBorders>
              <w:tl2br w:val="nil"/>
              <w:tr2bl w:val="nil"/>
            </w:tcBorders>
            <w:noWrap w:val="0"/>
            <w:vAlign w:val="center"/>
          </w:tcPr>
          <w:p w14:paraId="293FA8A1">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企业人员情况</w:t>
            </w:r>
          </w:p>
        </w:tc>
        <w:tc>
          <w:tcPr>
            <w:tcW w:w="3332" w:type="pct"/>
            <w:tcBorders>
              <w:tl2br w:val="nil"/>
              <w:tr2bl w:val="nil"/>
            </w:tcBorders>
            <w:noWrap w:val="0"/>
            <w:vAlign w:val="center"/>
          </w:tcPr>
          <w:p w14:paraId="3A22A8FC">
            <w:pPr>
              <w:pStyle w:val="3"/>
              <w:numPr>
                <w:ilvl w:val="0"/>
                <w:numId w:val="1"/>
              </w:numPr>
              <w:spacing w:line="240" w:lineRule="auto"/>
              <w:ind w:left="0" w:leftChars="0" w:firstLine="0" w:firstLineChars="0"/>
              <w:rPr>
                <w:rFonts w:hint="default" w:ascii="宋体" w:hAnsi="宋体" w:eastAsia="宋体" w:cs="宋体"/>
                <w:sz w:val="21"/>
                <w:szCs w:val="21"/>
                <w:lang w:eastAsia="zh-CN"/>
              </w:rPr>
            </w:pPr>
            <w:r>
              <w:rPr>
                <w:rFonts w:hint="eastAsia" w:ascii="宋体" w:hAnsi="宋体" w:eastAsia="宋体" w:cs="宋体"/>
                <w:sz w:val="21"/>
                <w:szCs w:val="21"/>
                <w:lang w:val="en-US" w:eastAsia="zh-CN"/>
              </w:rPr>
              <w:t>投标人的员工具有相关政府、行业部门或行业协会颁发的潜水员证，每1人得2分，最高得6分</w:t>
            </w:r>
            <w:r>
              <w:rPr>
                <w:rFonts w:hint="default" w:ascii="宋体" w:hAnsi="宋体" w:eastAsia="宋体" w:cs="宋体"/>
                <w:sz w:val="21"/>
                <w:szCs w:val="21"/>
                <w:lang w:eastAsia="zh-CN"/>
              </w:rPr>
              <w:t>。</w:t>
            </w:r>
          </w:p>
          <w:p w14:paraId="544274CF">
            <w:pPr>
              <w:pStyle w:val="3"/>
              <w:numPr>
                <w:ilvl w:val="0"/>
                <w:numId w:val="1"/>
              </w:num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2.投标人的员工具有关政府、行业部门或行业协会颁发的有限空间作业证书的，每1人得3分，最高得9分。</w:t>
            </w:r>
          </w:p>
          <w:p w14:paraId="1299FC6A">
            <w:pPr>
              <w:pStyle w:val="3"/>
              <w:numPr>
                <w:ilvl w:val="0"/>
                <w:numId w:val="0"/>
              </w:numPr>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default" w:ascii="宋体" w:hAnsi="宋体" w:eastAsia="宋体" w:cs="宋体"/>
                <w:sz w:val="21"/>
                <w:szCs w:val="21"/>
                <w:lang w:eastAsia="zh-CN"/>
              </w:rPr>
              <w:t>以上1-2项合计最高得1</w:t>
            </w:r>
            <w:r>
              <w:rPr>
                <w:rFonts w:hint="eastAsia" w:ascii="宋体" w:hAnsi="宋体" w:eastAsia="宋体" w:cs="宋体"/>
                <w:sz w:val="21"/>
                <w:szCs w:val="21"/>
                <w:lang w:val="en-US" w:eastAsia="zh-CN"/>
              </w:rPr>
              <w:t>5</w:t>
            </w:r>
            <w:r>
              <w:rPr>
                <w:rFonts w:hint="default" w:ascii="宋体" w:hAnsi="宋体" w:eastAsia="宋体" w:cs="宋体"/>
                <w:sz w:val="21"/>
                <w:szCs w:val="21"/>
                <w:lang w:eastAsia="zh-CN"/>
              </w:rPr>
              <w:t>分。</w:t>
            </w:r>
            <w:r>
              <w:rPr>
                <w:rFonts w:hint="eastAsia" w:ascii="宋体" w:hAnsi="宋体" w:eastAsia="宋体" w:cs="宋体"/>
                <w:sz w:val="21"/>
                <w:szCs w:val="21"/>
                <w:lang w:val="en-US" w:eastAsia="zh-CN"/>
              </w:rPr>
              <w:t>提供人员证书复印件加盖公章，并提供人员在投标单位近一年（2024年4月至今）购买的社保证明材料。</w:t>
            </w:r>
          </w:p>
        </w:tc>
        <w:tc>
          <w:tcPr>
            <w:tcW w:w="417" w:type="pct"/>
            <w:tcBorders>
              <w:tl2br w:val="nil"/>
              <w:tr2bl w:val="nil"/>
            </w:tcBorders>
            <w:noWrap w:val="0"/>
            <w:vAlign w:val="center"/>
          </w:tcPr>
          <w:p w14:paraId="39098437">
            <w:pPr>
              <w:spacing w:line="276" w:lineRule="auto"/>
              <w:jc w:val="center"/>
              <w:rPr>
                <w:rFonts w:hint="default" w:cs="宋体"/>
                <w:color w:val="auto"/>
                <w:szCs w:val="21"/>
                <w:highlight w:val="none"/>
                <w:lang w:val="en-US" w:eastAsia="zh-CN"/>
              </w:rPr>
            </w:pPr>
            <w:r>
              <w:rPr>
                <w:rFonts w:hint="eastAsia" w:cs="宋体"/>
                <w:color w:val="auto"/>
                <w:szCs w:val="21"/>
                <w:highlight w:val="none"/>
                <w:lang w:val="en-US" w:eastAsia="zh-CN"/>
              </w:rPr>
              <w:t>15</w:t>
            </w:r>
          </w:p>
        </w:tc>
        <w:tc>
          <w:tcPr>
            <w:tcW w:w="568" w:type="pct"/>
            <w:tcBorders>
              <w:tl2br w:val="nil"/>
              <w:tr2bl w:val="nil"/>
            </w:tcBorders>
            <w:noWrap w:val="0"/>
            <w:vAlign w:val="center"/>
          </w:tcPr>
          <w:p w14:paraId="720EE870">
            <w:pPr>
              <w:spacing w:line="276" w:lineRule="auto"/>
              <w:jc w:val="center"/>
              <w:rPr>
                <w:rFonts w:hint="eastAsia" w:cs="宋体"/>
                <w:color w:val="auto"/>
                <w:szCs w:val="21"/>
                <w:highlight w:val="none"/>
                <w:lang w:val="en-US" w:eastAsia="zh-CN"/>
              </w:rPr>
            </w:pPr>
          </w:p>
        </w:tc>
      </w:tr>
      <w:tr w14:paraId="01F39BE2">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912" w:hRule="atLeast"/>
          <w:jc w:val="center"/>
        </w:trPr>
        <w:tc>
          <w:tcPr>
            <w:tcW w:w="205" w:type="pct"/>
            <w:tcBorders>
              <w:tl2br w:val="nil"/>
              <w:tr2bl w:val="nil"/>
            </w:tcBorders>
            <w:noWrap w:val="0"/>
            <w:vAlign w:val="center"/>
          </w:tcPr>
          <w:p w14:paraId="2A715C1F">
            <w:pPr>
              <w:spacing w:line="276" w:lineRule="auto"/>
              <w:ind w:firstLine="14" w:firstLineChars="7"/>
              <w:jc w:val="center"/>
              <w:rPr>
                <w:rFonts w:hint="eastAsia"/>
                <w:color w:val="auto"/>
                <w:szCs w:val="21"/>
                <w:highlight w:val="none"/>
                <w:lang w:val="en-US" w:eastAsia="zh-CN"/>
              </w:rPr>
            </w:pPr>
            <w:r>
              <w:rPr>
                <w:rFonts w:hint="eastAsia"/>
                <w:color w:val="auto"/>
                <w:szCs w:val="21"/>
                <w:highlight w:val="none"/>
                <w:lang w:val="en-US" w:eastAsia="zh-CN"/>
              </w:rPr>
              <w:t>5</w:t>
            </w:r>
          </w:p>
        </w:tc>
        <w:tc>
          <w:tcPr>
            <w:tcW w:w="476" w:type="pct"/>
            <w:tcBorders>
              <w:tl2br w:val="nil"/>
              <w:tr2bl w:val="nil"/>
            </w:tcBorders>
            <w:noWrap w:val="0"/>
            <w:vAlign w:val="center"/>
          </w:tcPr>
          <w:p w14:paraId="3BC5F110">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企业驻地/办公点</w:t>
            </w:r>
          </w:p>
        </w:tc>
        <w:tc>
          <w:tcPr>
            <w:tcW w:w="3332" w:type="pct"/>
            <w:tcBorders>
              <w:right w:val="single" w:color="auto" w:sz="4" w:space="0"/>
              <w:tl2br w:val="nil"/>
              <w:tr2bl w:val="nil"/>
            </w:tcBorders>
            <w:noWrap w:val="0"/>
            <w:vAlign w:val="center"/>
          </w:tcPr>
          <w:p w14:paraId="38AD2FFA">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投标人注册地或办公场地在蓬江区、江海区、新会区的，得10分，在江门市其他地区的得5分，在江门市以外的不得分。</w:t>
            </w:r>
          </w:p>
        </w:tc>
        <w:tc>
          <w:tcPr>
            <w:tcW w:w="417" w:type="pct"/>
            <w:tcBorders>
              <w:left w:val="single" w:color="auto" w:sz="4" w:space="0"/>
              <w:tl2br w:val="nil"/>
              <w:tr2bl w:val="nil"/>
            </w:tcBorders>
            <w:noWrap w:val="0"/>
            <w:vAlign w:val="center"/>
          </w:tcPr>
          <w:p w14:paraId="2BF4B7FB">
            <w:pPr>
              <w:spacing w:line="276" w:lineRule="auto"/>
              <w:jc w:val="center"/>
              <w:rPr>
                <w:rFonts w:hint="default" w:ascii="宋体" w:hAnsi="宋体" w:eastAsia="宋体" w:cs="宋体"/>
                <w:sz w:val="21"/>
                <w:szCs w:val="21"/>
                <w:lang w:val="en-US" w:eastAsia="zh-CN"/>
              </w:rPr>
            </w:pPr>
            <w:r>
              <w:rPr>
                <w:rFonts w:hint="eastAsia" w:cs="宋体"/>
                <w:color w:val="auto"/>
                <w:szCs w:val="21"/>
                <w:highlight w:val="none"/>
                <w:lang w:val="en-US" w:eastAsia="zh-CN"/>
              </w:rPr>
              <w:t>10</w:t>
            </w:r>
          </w:p>
        </w:tc>
        <w:tc>
          <w:tcPr>
            <w:tcW w:w="568" w:type="pct"/>
            <w:tcBorders>
              <w:tl2br w:val="nil"/>
              <w:tr2bl w:val="nil"/>
            </w:tcBorders>
            <w:noWrap w:val="0"/>
            <w:vAlign w:val="center"/>
          </w:tcPr>
          <w:p w14:paraId="7B011589">
            <w:pPr>
              <w:spacing w:line="240" w:lineRule="auto"/>
              <w:ind w:firstLine="210" w:firstLineChars="100"/>
              <w:rPr>
                <w:rFonts w:hint="eastAsia" w:ascii="宋体" w:hAnsi="宋体" w:eastAsia="宋体" w:cs="宋体"/>
                <w:sz w:val="21"/>
                <w:szCs w:val="21"/>
                <w:lang w:val="en-US" w:eastAsia="zh-CN"/>
              </w:rPr>
            </w:pPr>
          </w:p>
        </w:tc>
      </w:tr>
      <w:tr w14:paraId="4F13B9E9">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893" w:hRule="atLeast"/>
          <w:jc w:val="center"/>
        </w:trPr>
        <w:tc>
          <w:tcPr>
            <w:tcW w:w="205" w:type="pct"/>
            <w:tcBorders>
              <w:right w:val="single" w:color="auto" w:sz="4" w:space="0"/>
              <w:tl2br w:val="nil"/>
              <w:tr2bl w:val="nil"/>
            </w:tcBorders>
            <w:noWrap w:val="0"/>
            <w:vAlign w:val="center"/>
          </w:tcPr>
          <w:p w14:paraId="0FAF4687">
            <w:pPr>
              <w:spacing w:line="276" w:lineRule="auto"/>
              <w:ind w:firstLine="14" w:firstLineChars="7"/>
              <w:jc w:val="center"/>
              <w:rPr>
                <w:rFonts w:hint="default"/>
                <w:color w:val="auto"/>
                <w:szCs w:val="21"/>
                <w:highlight w:val="none"/>
                <w:lang w:val="en-US" w:eastAsia="zh-CN"/>
              </w:rPr>
            </w:pPr>
            <w:r>
              <w:rPr>
                <w:rFonts w:hint="eastAsia"/>
                <w:color w:val="auto"/>
                <w:szCs w:val="21"/>
                <w:highlight w:val="none"/>
                <w:lang w:val="en-US" w:eastAsia="zh-CN"/>
              </w:rPr>
              <w:t>6</w:t>
            </w:r>
          </w:p>
        </w:tc>
        <w:tc>
          <w:tcPr>
            <w:tcW w:w="476" w:type="pct"/>
            <w:tcBorders>
              <w:left w:val="single" w:color="auto" w:sz="4" w:space="0"/>
              <w:tl2br w:val="nil"/>
              <w:tr2bl w:val="nil"/>
            </w:tcBorders>
            <w:noWrap w:val="0"/>
            <w:vAlign w:val="center"/>
          </w:tcPr>
          <w:p w14:paraId="6D22CF21">
            <w:pPr>
              <w:pStyle w:val="3"/>
              <w:numPr>
                <w:ilvl w:val="0"/>
                <w:numId w:val="0"/>
              </w:numPr>
              <w:spacing w:line="240" w:lineRule="auto"/>
              <w:ind w:left="0" w:leftChars="0"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报价</w:t>
            </w:r>
          </w:p>
        </w:tc>
        <w:tc>
          <w:tcPr>
            <w:tcW w:w="3332" w:type="pct"/>
            <w:tcBorders>
              <w:right w:val="single" w:color="auto" w:sz="4" w:space="0"/>
              <w:tl2br w:val="nil"/>
              <w:tr2bl w:val="nil"/>
            </w:tcBorders>
            <w:noWrap w:val="0"/>
            <w:vAlign w:val="center"/>
          </w:tcPr>
          <w:p w14:paraId="7C8DB149">
            <w:pPr>
              <w:spacing w:line="320" w:lineRule="exact"/>
              <w:jc w:val="both"/>
              <w:rPr>
                <w:rFonts w:hint="eastAsia" w:ascii="宋体" w:hAnsi="宋体" w:eastAsia="宋体" w:cs="宋体"/>
                <w:b/>
                <w:bCs/>
                <w:color w:val="auto"/>
                <w:sz w:val="22"/>
                <w:szCs w:val="21"/>
                <w:highlight w:val="none"/>
                <w:lang w:val="en-US" w:eastAsia="zh-CN" w:bidi="zh-CN"/>
              </w:rPr>
            </w:pPr>
            <w:r>
              <w:rPr>
                <w:rFonts w:hint="eastAsia"/>
                <w:color w:val="auto"/>
                <w:sz w:val="21"/>
                <w:szCs w:val="21"/>
                <w:highlight w:val="none"/>
                <w:lang w:val="en-US" w:eastAsia="zh-CN"/>
              </w:rPr>
              <w:t>以</w:t>
            </w:r>
            <w:r>
              <w:rPr>
                <w:rFonts w:hint="eastAsia"/>
                <w:color w:val="auto"/>
                <w:sz w:val="21"/>
                <w:szCs w:val="21"/>
                <w:highlight w:val="none"/>
                <w:lang w:val="en-US"/>
              </w:rPr>
              <w:t>最</w:t>
            </w:r>
            <w:r>
              <w:rPr>
                <w:rFonts w:hint="eastAsia"/>
                <w:color w:val="auto"/>
                <w:sz w:val="21"/>
                <w:szCs w:val="21"/>
                <w:highlight w:val="none"/>
                <w:lang w:val="en-US" w:eastAsia="zh-CN"/>
              </w:rPr>
              <w:t>大</w:t>
            </w:r>
            <w:r>
              <w:rPr>
                <w:rFonts w:hint="eastAsia"/>
                <w:color w:val="auto"/>
                <w:sz w:val="21"/>
                <w:szCs w:val="21"/>
                <w:highlight w:val="none"/>
                <w:lang w:val="en-US"/>
              </w:rPr>
              <w:t>的</w:t>
            </w:r>
            <w:r>
              <w:rPr>
                <w:rFonts w:hint="eastAsia"/>
                <w:color w:val="auto"/>
                <w:sz w:val="21"/>
                <w:szCs w:val="21"/>
                <w:highlight w:val="none"/>
                <w:lang w:val="en-US" w:eastAsia="zh-CN"/>
              </w:rPr>
              <w:t>投标报价下浮率</w:t>
            </w:r>
            <w:r>
              <w:rPr>
                <w:rFonts w:hint="eastAsia"/>
                <w:color w:val="auto"/>
                <w:sz w:val="21"/>
                <w:szCs w:val="21"/>
                <w:highlight w:val="none"/>
                <w:lang w:val="en-US"/>
              </w:rPr>
              <w:t>为评标基准</w:t>
            </w:r>
            <w:r>
              <w:rPr>
                <w:rFonts w:hint="eastAsia"/>
                <w:color w:val="auto"/>
                <w:sz w:val="21"/>
                <w:szCs w:val="21"/>
                <w:highlight w:val="none"/>
                <w:lang w:val="en-US" w:eastAsia="zh-CN"/>
              </w:rPr>
              <w:t>下浮率</w:t>
            </w:r>
            <w:r>
              <w:rPr>
                <w:rFonts w:hint="eastAsia"/>
                <w:color w:val="auto"/>
                <w:sz w:val="21"/>
                <w:szCs w:val="21"/>
                <w:highlight w:val="none"/>
                <w:lang w:val="en-US"/>
              </w:rPr>
              <w:t>，其价格分为满分</w:t>
            </w:r>
            <w:r>
              <w:rPr>
                <w:rFonts w:hint="eastAsia"/>
                <w:color w:val="auto"/>
                <w:sz w:val="21"/>
                <w:szCs w:val="21"/>
                <w:highlight w:val="none"/>
                <w:lang w:val="en-US" w:eastAsia="zh-CN"/>
              </w:rPr>
              <w:t>40</w:t>
            </w:r>
            <w:r>
              <w:rPr>
                <w:rFonts w:hint="eastAsia"/>
                <w:color w:val="auto"/>
                <w:sz w:val="21"/>
                <w:szCs w:val="21"/>
                <w:highlight w:val="none"/>
                <w:lang w:val="en-US"/>
              </w:rPr>
              <w:t>分，其他</w:t>
            </w:r>
            <w:r>
              <w:rPr>
                <w:rFonts w:hint="eastAsia"/>
                <w:color w:val="auto"/>
                <w:sz w:val="21"/>
                <w:szCs w:val="21"/>
                <w:highlight w:val="none"/>
                <w:lang w:val="en-US" w:eastAsia="zh-CN"/>
              </w:rPr>
              <w:t>投标人</w:t>
            </w:r>
            <w:r>
              <w:rPr>
                <w:rFonts w:hint="eastAsia"/>
                <w:color w:val="auto"/>
                <w:sz w:val="21"/>
                <w:szCs w:val="21"/>
                <w:highlight w:val="none"/>
                <w:lang w:val="en-US"/>
              </w:rPr>
              <w:t>的价格分统一按照下列公式计算：投标报价得分=[</w:t>
            </w:r>
            <w:r>
              <w:rPr>
                <w:rFonts w:hint="eastAsia"/>
                <w:color w:val="auto"/>
                <w:sz w:val="21"/>
                <w:szCs w:val="21"/>
                <w:highlight w:val="none"/>
                <w:lang w:val="en-US" w:eastAsia="zh-CN"/>
              </w:rPr>
              <w:t>1-</w:t>
            </w:r>
            <w:r>
              <w:rPr>
                <w:rFonts w:hint="eastAsia"/>
                <w:color w:val="auto"/>
                <w:sz w:val="21"/>
                <w:szCs w:val="21"/>
                <w:highlight w:val="none"/>
                <w:lang w:val="en-US"/>
              </w:rPr>
              <w:t>（评标基准</w:t>
            </w:r>
            <w:r>
              <w:rPr>
                <w:rFonts w:hint="eastAsia"/>
                <w:color w:val="auto"/>
                <w:sz w:val="21"/>
                <w:szCs w:val="21"/>
                <w:highlight w:val="none"/>
                <w:lang w:val="en-US" w:eastAsia="zh-CN"/>
              </w:rPr>
              <w:t>下浮率</w:t>
            </w:r>
            <w:r>
              <w:rPr>
                <w:rFonts w:hint="eastAsia"/>
                <w:color w:val="auto"/>
                <w:sz w:val="21"/>
                <w:szCs w:val="21"/>
                <w:highlight w:val="none"/>
                <w:lang w:val="en-US"/>
              </w:rPr>
              <w:t>-</w:t>
            </w:r>
            <w:r>
              <w:rPr>
                <w:rFonts w:hint="eastAsia"/>
                <w:color w:val="auto"/>
                <w:sz w:val="21"/>
                <w:szCs w:val="21"/>
                <w:highlight w:val="none"/>
                <w:lang w:val="en-US" w:eastAsia="zh-CN"/>
              </w:rPr>
              <w:t>投标报价下浮率</w:t>
            </w:r>
            <w:r>
              <w:rPr>
                <w:rFonts w:hint="eastAsia"/>
                <w:color w:val="auto"/>
                <w:sz w:val="21"/>
                <w:szCs w:val="21"/>
                <w:highlight w:val="none"/>
                <w:lang w:val="en-US"/>
              </w:rPr>
              <w:t>）]×</w:t>
            </w:r>
            <w:r>
              <w:rPr>
                <w:rFonts w:hint="eastAsia"/>
                <w:color w:val="auto"/>
                <w:sz w:val="21"/>
                <w:szCs w:val="21"/>
                <w:highlight w:val="none"/>
                <w:lang w:val="en-US" w:eastAsia="zh-CN"/>
              </w:rPr>
              <w:t>4</w:t>
            </w:r>
            <w:r>
              <w:rPr>
                <w:rFonts w:hint="eastAsia"/>
                <w:color w:val="auto"/>
                <w:sz w:val="21"/>
                <w:szCs w:val="21"/>
                <w:highlight w:val="none"/>
                <w:lang w:val="en-US"/>
              </w:rPr>
              <w:t>0</w:t>
            </w:r>
          </w:p>
        </w:tc>
        <w:tc>
          <w:tcPr>
            <w:tcW w:w="417" w:type="pct"/>
            <w:tcBorders>
              <w:left w:val="single" w:color="auto" w:sz="4" w:space="0"/>
              <w:tl2br w:val="nil"/>
              <w:tr2bl w:val="nil"/>
            </w:tcBorders>
            <w:noWrap w:val="0"/>
            <w:vAlign w:val="center"/>
          </w:tcPr>
          <w:p w14:paraId="578E3D29">
            <w:pPr>
              <w:spacing w:line="276" w:lineRule="auto"/>
              <w:jc w:val="center"/>
              <w:rPr>
                <w:rFonts w:hint="default" w:ascii="宋体" w:hAnsi="宋体" w:eastAsia="宋体" w:cs="宋体"/>
                <w:b/>
                <w:bCs/>
                <w:color w:val="auto"/>
                <w:sz w:val="22"/>
                <w:szCs w:val="21"/>
                <w:highlight w:val="none"/>
                <w:lang w:val="en-US" w:eastAsia="zh-CN" w:bidi="zh-CN"/>
              </w:rPr>
            </w:pPr>
            <w:r>
              <w:rPr>
                <w:rFonts w:hint="eastAsia" w:cs="宋体"/>
                <w:color w:val="auto"/>
                <w:szCs w:val="21"/>
                <w:highlight w:val="none"/>
                <w:lang w:val="en-US" w:eastAsia="zh-CN"/>
              </w:rPr>
              <w:t>40</w:t>
            </w:r>
          </w:p>
        </w:tc>
        <w:tc>
          <w:tcPr>
            <w:tcW w:w="568" w:type="pct"/>
            <w:tcBorders>
              <w:tl2br w:val="nil"/>
              <w:tr2bl w:val="nil"/>
            </w:tcBorders>
            <w:noWrap w:val="0"/>
            <w:vAlign w:val="center"/>
          </w:tcPr>
          <w:p w14:paraId="497D82C2">
            <w:pPr>
              <w:spacing w:line="276" w:lineRule="auto"/>
              <w:ind w:firstLine="480" w:firstLineChars="0"/>
              <w:jc w:val="center"/>
              <w:rPr>
                <w:rFonts w:hint="eastAsia" w:cs="宋体"/>
                <w:b/>
                <w:bCs/>
                <w:color w:val="auto"/>
                <w:szCs w:val="21"/>
                <w:highlight w:val="none"/>
                <w:lang w:val="en-US" w:eastAsia="zh-CN"/>
              </w:rPr>
            </w:pPr>
          </w:p>
        </w:tc>
      </w:tr>
      <w:tr w14:paraId="4403256B">
        <w:tblPrEx>
          <w:tblBorders>
            <w:top w:val="single" w:color="auto" w:sz="2" w:space="0"/>
            <w:left w:val="single" w:color="auto" w:sz="2" w:space="0"/>
            <w:bottom w:val="single" w:color="auto" w:sz="2"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532" w:hRule="atLeast"/>
          <w:jc w:val="center"/>
        </w:trPr>
        <w:tc>
          <w:tcPr>
            <w:tcW w:w="682" w:type="pct"/>
            <w:gridSpan w:val="2"/>
            <w:tcBorders>
              <w:tl2br w:val="nil"/>
              <w:tr2bl w:val="nil"/>
            </w:tcBorders>
            <w:noWrap w:val="0"/>
            <w:vAlign w:val="center"/>
          </w:tcPr>
          <w:p w14:paraId="345D211B">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合计</w:t>
            </w:r>
          </w:p>
        </w:tc>
        <w:tc>
          <w:tcPr>
            <w:tcW w:w="3332" w:type="pct"/>
            <w:tcBorders>
              <w:right w:val="single" w:color="auto" w:sz="4" w:space="0"/>
              <w:tl2br w:val="nil"/>
              <w:tr2bl w:val="nil"/>
            </w:tcBorders>
            <w:noWrap w:val="0"/>
            <w:vAlign w:val="center"/>
          </w:tcPr>
          <w:p w14:paraId="06D4F16E">
            <w:pPr>
              <w:spacing w:line="276" w:lineRule="auto"/>
              <w:ind w:firstLine="480" w:firstLineChars="0"/>
              <w:jc w:val="center"/>
              <w:rPr>
                <w:rFonts w:hint="eastAsia" w:cs="宋体"/>
                <w:b/>
                <w:bCs/>
                <w:color w:val="auto"/>
                <w:szCs w:val="21"/>
                <w:highlight w:val="none"/>
                <w:lang w:val="en-US" w:eastAsia="zh-CN"/>
              </w:rPr>
            </w:pPr>
          </w:p>
        </w:tc>
        <w:tc>
          <w:tcPr>
            <w:tcW w:w="417" w:type="pct"/>
            <w:tcBorders>
              <w:left w:val="single" w:color="auto" w:sz="4" w:space="0"/>
              <w:tl2br w:val="nil"/>
              <w:tr2bl w:val="nil"/>
            </w:tcBorders>
            <w:noWrap w:val="0"/>
            <w:vAlign w:val="center"/>
          </w:tcPr>
          <w:p w14:paraId="28124FB2">
            <w:pPr>
              <w:spacing w:line="276" w:lineRule="auto"/>
              <w:ind w:firstLine="420" w:firstLineChars="200"/>
              <w:jc w:val="both"/>
              <w:rPr>
                <w:rFonts w:hint="default" w:cs="宋体"/>
                <w:b/>
                <w:bCs/>
                <w:color w:val="auto"/>
                <w:szCs w:val="21"/>
                <w:highlight w:val="none"/>
                <w:lang w:val="en-US" w:eastAsia="zh-CN"/>
              </w:rPr>
            </w:pPr>
            <w:r>
              <w:rPr>
                <w:rFonts w:hint="eastAsia" w:cs="宋体"/>
                <w:b/>
                <w:bCs/>
                <w:color w:val="auto"/>
                <w:szCs w:val="21"/>
                <w:highlight w:val="none"/>
                <w:lang w:val="en-US" w:eastAsia="zh-CN"/>
              </w:rPr>
              <w:t>100</w:t>
            </w:r>
          </w:p>
        </w:tc>
        <w:tc>
          <w:tcPr>
            <w:tcW w:w="568" w:type="pct"/>
            <w:tcBorders>
              <w:tl2br w:val="nil"/>
              <w:tr2bl w:val="nil"/>
            </w:tcBorders>
            <w:noWrap w:val="0"/>
            <w:vAlign w:val="center"/>
          </w:tcPr>
          <w:p w14:paraId="28C2C92F">
            <w:pPr>
              <w:spacing w:line="276" w:lineRule="auto"/>
              <w:ind w:firstLine="480" w:firstLineChars="0"/>
              <w:jc w:val="center"/>
              <w:rPr>
                <w:rFonts w:hint="eastAsia" w:cs="宋体"/>
                <w:b/>
                <w:bCs/>
                <w:color w:val="auto"/>
                <w:szCs w:val="21"/>
                <w:highlight w:val="none"/>
                <w:lang w:val="en-US" w:eastAsia="zh-CN"/>
              </w:rPr>
            </w:pPr>
          </w:p>
        </w:tc>
      </w:tr>
    </w:tbl>
    <w:p w14:paraId="109DDFC3">
      <w:pPr>
        <w:pStyle w:val="2"/>
        <w:rPr>
          <w:rFonts w:eastAsia="方正小标宋简体"/>
          <w:bCs/>
          <w:kern w:val="0"/>
          <w:sz w:val="44"/>
          <w:szCs w:val="44"/>
        </w:rPr>
      </w:pPr>
    </w:p>
    <w:p w14:paraId="390D05F3">
      <w:pPr>
        <w:pStyle w:val="2"/>
      </w:pPr>
    </w:p>
    <w:sectPr>
      <w:pgSz w:w="16838" w:h="11906" w:orient="landscape"/>
      <w:pgMar w:top="720" w:right="720" w:bottom="720"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F338">
    <w:pPr>
      <w:pStyle w:val="7"/>
      <w:pBdr>
        <w:bottom w:val="none" w:color="auto" w:sz="0" w:space="0"/>
      </w:pBdr>
      <w:jc w:val="left"/>
      <w:rPr>
        <w:rFonts w:asciiTheme="minorEastAsia" w:hAnsiTheme="minorEastAsia" w:eastAsiaTheme="minorEastAsia"/>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6ACC8"/>
    <w:multiLevelType w:val="singleLevel"/>
    <w:tmpl w:val="1ED6AC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DU3Y2VhZjlhNjJkMDE0MGE2NGJiNDczNTA5MWMifQ=="/>
    <w:docVar w:name="KGWebUrl" w:val="http://19.121.241.45/seeyon/officeservlet"/>
  </w:docVars>
  <w:rsids>
    <w:rsidRoot w:val="5FDA3E7F"/>
    <w:rsid w:val="000149F6"/>
    <w:rsid w:val="00072B4B"/>
    <w:rsid w:val="0009653E"/>
    <w:rsid w:val="000F6568"/>
    <w:rsid w:val="001203DD"/>
    <w:rsid w:val="00130987"/>
    <w:rsid w:val="0015444C"/>
    <w:rsid w:val="0016305F"/>
    <w:rsid w:val="00171D34"/>
    <w:rsid w:val="001A4FDD"/>
    <w:rsid w:val="001D0A6F"/>
    <w:rsid w:val="001D1D4C"/>
    <w:rsid w:val="001E2477"/>
    <w:rsid w:val="002021F9"/>
    <w:rsid w:val="002440D4"/>
    <w:rsid w:val="00244CDC"/>
    <w:rsid w:val="00256672"/>
    <w:rsid w:val="00271C46"/>
    <w:rsid w:val="0027528A"/>
    <w:rsid w:val="002D5197"/>
    <w:rsid w:val="002F7CD5"/>
    <w:rsid w:val="0031139D"/>
    <w:rsid w:val="003128D6"/>
    <w:rsid w:val="0031665C"/>
    <w:rsid w:val="003305A6"/>
    <w:rsid w:val="00340936"/>
    <w:rsid w:val="00367E9D"/>
    <w:rsid w:val="00375618"/>
    <w:rsid w:val="00410EBE"/>
    <w:rsid w:val="004362A3"/>
    <w:rsid w:val="004B0DF1"/>
    <w:rsid w:val="004C7A93"/>
    <w:rsid w:val="004F1366"/>
    <w:rsid w:val="004F60CF"/>
    <w:rsid w:val="00514ABA"/>
    <w:rsid w:val="005272B6"/>
    <w:rsid w:val="00532A2D"/>
    <w:rsid w:val="00581288"/>
    <w:rsid w:val="005A34CA"/>
    <w:rsid w:val="00604D0E"/>
    <w:rsid w:val="00620F92"/>
    <w:rsid w:val="00626FA1"/>
    <w:rsid w:val="0068795D"/>
    <w:rsid w:val="006A0419"/>
    <w:rsid w:val="006A4E00"/>
    <w:rsid w:val="006D6B97"/>
    <w:rsid w:val="006E7315"/>
    <w:rsid w:val="006F6D61"/>
    <w:rsid w:val="0074383E"/>
    <w:rsid w:val="00755341"/>
    <w:rsid w:val="007B05B0"/>
    <w:rsid w:val="007D6EE2"/>
    <w:rsid w:val="007E18D4"/>
    <w:rsid w:val="007F5017"/>
    <w:rsid w:val="008550E0"/>
    <w:rsid w:val="00882A81"/>
    <w:rsid w:val="008B5178"/>
    <w:rsid w:val="008E3E6D"/>
    <w:rsid w:val="008F6626"/>
    <w:rsid w:val="0090735E"/>
    <w:rsid w:val="009658AD"/>
    <w:rsid w:val="00970F05"/>
    <w:rsid w:val="00984883"/>
    <w:rsid w:val="009D2951"/>
    <w:rsid w:val="00A26C31"/>
    <w:rsid w:val="00A359D3"/>
    <w:rsid w:val="00A42A1E"/>
    <w:rsid w:val="00A918FB"/>
    <w:rsid w:val="00AA1788"/>
    <w:rsid w:val="00B17CC6"/>
    <w:rsid w:val="00B4119B"/>
    <w:rsid w:val="00B4439D"/>
    <w:rsid w:val="00B52BF1"/>
    <w:rsid w:val="00B5675C"/>
    <w:rsid w:val="00B614E0"/>
    <w:rsid w:val="00B6735B"/>
    <w:rsid w:val="00B86BA6"/>
    <w:rsid w:val="00C20E22"/>
    <w:rsid w:val="00C25867"/>
    <w:rsid w:val="00C63139"/>
    <w:rsid w:val="00C809AA"/>
    <w:rsid w:val="00CC1947"/>
    <w:rsid w:val="00CC6EBF"/>
    <w:rsid w:val="00CE3524"/>
    <w:rsid w:val="00CF0E3A"/>
    <w:rsid w:val="00D16DD7"/>
    <w:rsid w:val="00D42ABC"/>
    <w:rsid w:val="00D94F86"/>
    <w:rsid w:val="00DA567B"/>
    <w:rsid w:val="00DA7D8F"/>
    <w:rsid w:val="00DB56C0"/>
    <w:rsid w:val="00DD2B4D"/>
    <w:rsid w:val="00DD5414"/>
    <w:rsid w:val="00DF4637"/>
    <w:rsid w:val="00E52328"/>
    <w:rsid w:val="00E600FE"/>
    <w:rsid w:val="00EA1092"/>
    <w:rsid w:val="00EA1FC0"/>
    <w:rsid w:val="00EB2796"/>
    <w:rsid w:val="00EF0ED9"/>
    <w:rsid w:val="00F04171"/>
    <w:rsid w:val="00F100E0"/>
    <w:rsid w:val="00F72AD7"/>
    <w:rsid w:val="01787946"/>
    <w:rsid w:val="01A9770F"/>
    <w:rsid w:val="053E25DD"/>
    <w:rsid w:val="07F31225"/>
    <w:rsid w:val="084D1FF9"/>
    <w:rsid w:val="098470A4"/>
    <w:rsid w:val="099077F7"/>
    <w:rsid w:val="099F7B11"/>
    <w:rsid w:val="0B6C7DF0"/>
    <w:rsid w:val="0E823830"/>
    <w:rsid w:val="0F7C39B0"/>
    <w:rsid w:val="10E549A1"/>
    <w:rsid w:val="12145A02"/>
    <w:rsid w:val="14DC4224"/>
    <w:rsid w:val="15046CB5"/>
    <w:rsid w:val="151B6B0E"/>
    <w:rsid w:val="1ABD6851"/>
    <w:rsid w:val="1ADA34A0"/>
    <w:rsid w:val="1F4C5CAB"/>
    <w:rsid w:val="231C237C"/>
    <w:rsid w:val="252561EE"/>
    <w:rsid w:val="255B30EF"/>
    <w:rsid w:val="269E06DB"/>
    <w:rsid w:val="270237C3"/>
    <w:rsid w:val="28085FF0"/>
    <w:rsid w:val="281D3002"/>
    <w:rsid w:val="2B8A3E01"/>
    <w:rsid w:val="2C1E6457"/>
    <w:rsid w:val="2F1422BD"/>
    <w:rsid w:val="2FAC7A81"/>
    <w:rsid w:val="30D73164"/>
    <w:rsid w:val="30DB4E58"/>
    <w:rsid w:val="32D56BB5"/>
    <w:rsid w:val="34692B82"/>
    <w:rsid w:val="36EB162B"/>
    <w:rsid w:val="37896B48"/>
    <w:rsid w:val="38647A3B"/>
    <w:rsid w:val="3884708A"/>
    <w:rsid w:val="3CA8487C"/>
    <w:rsid w:val="3CFB6F84"/>
    <w:rsid w:val="3E083824"/>
    <w:rsid w:val="425139E4"/>
    <w:rsid w:val="44A91D1B"/>
    <w:rsid w:val="4C2061DD"/>
    <w:rsid w:val="4DF92428"/>
    <w:rsid w:val="5211523C"/>
    <w:rsid w:val="58D304A6"/>
    <w:rsid w:val="590B454D"/>
    <w:rsid w:val="59BA4C4C"/>
    <w:rsid w:val="5A115CFE"/>
    <w:rsid w:val="5A7B1263"/>
    <w:rsid w:val="5C9D4E93"/>
    <w:rsid w:val="5CCC3EA4"/>
    <w:rsid w:val="5FDA3E7F"/>
    <w:rsid w:val="60234F6B"/>
    <w:rsid w:val="67E61DE9"/>
    <w:rsid w:val="6CE83912"/>
    <w:rsid w:val="6F8A1A3C"/>
    <w:rsid w:val="6FB5018B"/>
    <w:rsid w:val="724E3EEE"/>
    <w:rsid w:val="729E2353"/>
    <w:rsid w:val="731E2BC7"/>
    <w:rsid w:val="76FC2CDD"/>
    <w:rsid w:val="7762625C"/>
    <w:rsid w:val="7A941B60"/>
    <w:rsid w:val="7BBD55E8"/>
    <w:rsid w:val="7C2D4440"/>
    <w:rsid w:val="7DA20826"/>
    <w:rsid w:val="7E0A1964"/>
    <w:rsid w:val="7FE5DB79"/>
    <w:rsid w:val="BAEFD3DB"/>
    <w:rsid w:val="BAF77D43"/>
    <w:rsid w:val="EEBD47C3"/>
    <w:rsid w:val="FBEF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Normal Indent"/>
    <w:basedOn w:val="1"/>
    <w:qFormat/>
    <w:uiPriority w:val="0"/>
    <w:pPr>
      <w:ind w:firstLine="420" w:firstLineChars="200"/>
    </w:pPr>
  </w:style>
  <w:style w:type="paragraph" w:styleId="4">
    <w:name w:val="annotation text"/>
    <w:basedOn w:val="1"/>
    <w:link w:val="14"/>
    <w:qFormat/>
    <w:uiPriority w:val="0"/>
  </w:style>
  <w:style w:type="paragraph" w:styleId="5">
    <w:name w:val="Balloon Text"/>
    <w:basedOn w:val="1"/>
    <w:link w:val="16"/>
    <w:qFormat/>
    <w:uiPriority w:val="0"/>
    <w:pPr>
      <w:spacing w:line="240" w:lineRule="auto"/>
    </w:pPr>
    <w:rPr>
      <w:sz w:val="18"/>
      <w:szCs w:val="18"/>
    </w:rPr>
  </w:style>
  <w:style w:type="paragraph" w:styleId="6">
    <w:name w:val="footer"/>
    <w:basedOn w:val="1"/>
    <w:link w:val="18"/>
    <w:qFormat/>
    <w:uiPriority w:val="0"/>
    <w:pPr>
      <w:tabs>
        <w:tab w:val="center" w:pos="4153"/>
        <w:tab w:val="right" w:pos="8306"/>
      </w:tabs>
      <w:snapToGrid w:val="0"/>
      <w:spacing w:line="240" w:lineRule="atLeas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4"/>
    <w:next w:val="4"/>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qFormat/>
    <w:uiPriority w:val="0"/>
    <w:rPr>
      <w:sz w:val="21"/>
      <w:szCs w:val="21"/>
    </w:rPr>
  </w:style>
  <w:style w:type="character" w:customStyle="1" w:styleId="13">
    <w:name w:val="正文文本 (2) + 间距 0 pt3"/>
    <w:qFormat/>
    <w:uiPriority w:val="99"/>
    <w:rPr>
      <w:rFonts w:ascii="MingLiU" w:eastAsia="MingLiU" w:cs="MingLiU"/>
      <w:spacing w:val="0"/>
      <w:sz w:val="22"/>
      <w:szCs w:val="22"/>
      <w:u w:val="none"/>
    </w:rPr>
  </w:style>
  <w:style w:type="character" w:customStyle="1" w:styleId="14">
    <w:name w:val="批注文字 Char"/>
    <w:link w:val="4"/>
    <w:qFormat/>
    <w:uiPriority w:val="0"/>
    <w:rPr>
      <w:kern w:val="2"/>
      <w:sz w:val="21"/>
      <w:szCs w:val="21"/>
    </w:rPr>
  </w:style>
  <w:style w:type="character" w:customStyle="1" w:styleId="15">
    <w:name w:val="批注主题 Char"/>
    <w:link w:val="8"/>
    <w:qFormat/>
    <w:uiPriority w:val="0"/>
    <w:rPr>
      <w:b/>
      <w:bCs/>
      <w:kern w:val="2"/>
      <w:sz w:val="21"/>
      <w:szCs w:val="21"/>
    </w:rPr>
  </w:style>
  <w:style w:type="character" w:customStyle="1" w:styleId="16">
    <w:name w:val="批注框文本 Char"/>
    <w:link w:val="5"/>
    <w:qFormat/>
    <w:uiPriority w:val="0"/>
    <w:rPr>
      <w:kern w:val="2"/>
      <w:sz w:val="18"/>
      <w:szCs w:val="18"/>
    </w:rPr>
  </w:style>
  <w:style w:type="character" w:customStyle="1" w:styleId="17">
    <w:name w:val="页眉 Char"/>
    <w:link w:val="7"/>
    <w:qFormat/>
    <w:uiPriority w:val="0"/>
    <w:rPr>
      <w:kern w:val="2"/>
      <w:sz w:val="18"/>
      <w:szCs w:val="18"/>
    </w:rPr>
  </w:style>
  <w:style w:type="character" w:customStyle="1" w:styleId="18">
    <w:name w:val="页脚 Char"/>
    <w:link w:val="6"/>
    <w:qFormat/>
    <w:uiPriority w:val="0"/>
    <w:rPr>
      <w:kern w:val="2"/>
      <w:sz w:val="18"/>
      <w:szCs w:val="18"/>
    </w:rPr>
  </w:style>
  <w:style w:type="character" w:customStyle="1" w:styleId="19">
    <w:name w:val="fontstyle01"/>
    <w:qFormat/>
    <w:uiPriority w:val="0"/>
    <w:rPr>
      <w:rFonts w:hint="eastAsia" w:ascii="宋体" w:hAnsi="宋体" w:eastAsia="宋体"/>
      <w:color w:val="000000"/>
      <w:sz w:val="22"/>
      <w:szCs w:val="22"/>
    </w:rPr>
  </w:style>
  <w:style w:type="character" w:styleId="20">
    <w:name w:val="Placeholder Text"/>
    <w:basedOn w:val="11"/>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江门市公路局</Company>
  <Pages>2</Pages>
  <Words>1032</Words>
  <Characters>1052</Characters>
  <Lines>8</Lines>
  <Paragraphs>2</Paragraphs>
  <TotalTime>0</TotalTime>
  <ScaleCrop>false</ScaleCrop>
  <LinksUpToDate>false</LinksUpToDate>
  <CharactersWithSpaces>1053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2024-05-14T02:20:00Z</dcterms:created>
  <dc:creator>区展锴</dc:creator>
  <cp:lastModifiedBy>Administrator</cp:lastModifiedBy>
  <cp:lastPrinted>2022-07-23T03:46:00Z</cp:lastPrinted>
  <dcterms:modified xsi:type="dcterms:W3CDTF">2025-07-14T00:39:39Z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366643D950BC4AFF962BA1E5E68284EF</vt:lpwstr>
  </property>
  <property fmtid="{D5CDD505-2E9C-101B-9397-08002B2CF9AE}" pid="4" name="KSOTemplateDocerSaveRecord">
    <vt:lpwstr>eyJoZGlkIjoiOGJhYjVlOTVlOGU4Yjg1Nzg0ZmJiMzZiZjAyODI0NDMifQ==</vt:lpwstr>
  </property>
</Properties>
</file>