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36"/>
          <w:szCs w:val="36"/>
          <w:lang w:val="zh-CN" w:eastAsia="zh-CN"/>
        </w:rPr>
      </w:pPr>
      <w:r>
        <w:rPr>
          <w:rFonts w:hint="eastAsia" w:ascii="方正小标宋简体" w:hAnsi="方正小标宋简体" w:eastAsia="方正小标宋简体" w:cs="方正小标宋简体"/>
          <w:sz w:val="36"/>
          <w:szCs w:val="36"/>
          <w:lang w:val="en-US" w:eastAsia="zh-CN"/>
        </w:rPr>
        <w:t>2026年度</w:t>
      </w:r>
      <w:r>
        <w:rPr>
          <w:rFonts w:hint="eastAsia" w:ascii="方正小标宋简体" w:hAnsi="方正小标宋简体" w:eastAsia="方正小标宋简体" w:cs="方正小标宋简体"/>
          <w:sz w:val="36"/>
          <w:szCs w:val="36"/>
          <w:lang w:val="zh-CN" w:eastAsia="zh-CN"/>
        </w:rPr>
        <w:t>蓬江区污水截污管网、污水提升泵站清疏</w:t>
      </w:r>
    </w:p>
    <w:p>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zh-CN" w:eastAsia="zh-CN"/>
        </w:rPr>
        <w:t>维护服务</w:t>
      </w:r>
      <w:r>
        <w:rPr>
          <w:rFonts w:hint="eastAsia" w:ascii="方正小标宋简体" w:hAnsi="方正小标宋简体" w:eastAsia="方正小标宋简体" w:cs="方正小标宋简体"/>
          <w:sz w:val="36"/>
          <w:szCs w:val="36"/>
          <w:lang w:val="en-US" w:eastAsia="zh-CN"/>
        </w:rPr>
        <w:t>项目</w:t>
      </w:r>
      <w:r>
        <w:rPr>
          <w:rFonts w:hint="eastAsia" w:ascii="方正小标宋简体" w:hAnsi="方正小标宋简体" w:eastAsia="方正小标宋简体" w:cs="方正小标宋简体"/>
          <w:sz w:val="36"/>
          <w:szCs w:val="36"/>
        </w:rPr>
        <w:t>采购评分标准</w:t>
      </w:r>
    </w:p>
    <w:p>
      <w:pPr>
        <w:spacing w:line="500" w:lineRule="exact"/>
        <w:jc w:val="center"/>
        <w:rPr>
          <w:rFonts w:hint="eastAsia" w:ascii="方正小标宋简体" w:hAnsi="方正小标宋简体" w:eastAsia="方正小标宋简体" w:cs="方正小标宋简体"/>
          <w:sz w:val="36"/>
          <w:szCs w:val="36"/>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highlight w:val="yellow"/>
        </w:rPr>
      </w:pPr>
      <w:r>
        <w:rPr>
          <w:rFonts w:hint="eastAsia" w:ascii="宋体" w:hAnsi="宋体" w:cs="宋体"/>
        </w:rPr>
        <w:t>本次采购为采购人通过自主采购的方式确定中选机构。评选标准为采购人按照评分标准对参评</w:t>
      </w:r>
      <w:r>
        <w:rPr>
          <w:rFonts w:hint="eastAsia" w:ascii="宋体" w:hAnsi="宋体" w:cs="宋体"/>
          <w:lang w:eastAsia="zh-CN"/>
        </w:rPr>
        <w:t>单位</w:t>
      </w:r>
      <w:r>
        <w:rPr>
          <w:rFonts w:hint="eastAsia" w:ascii="宋体" w:hAnsi="宋体" w:cs="宋体"/>
        </w:rPr>
        <w:t>提供的有效材料进行综合评分，评分步骤分为初审和详细评审。详细评审时，采购人对照《项目评分表》进行逐项评分。计算出各评审因素的算术平均值后合计总和作为该供应商的</w:t>
      </w:r>
      <w:r>
        <w:rPr>
          <w:rFonts w:hint="eastAsia" w:ascii="宋体" w:hAnsi="宋体" w:cs="宋体"/>
          <w:highlight w:val="none"/>
        </w:rPr>
        <w:t>得分，并按得分由高到低顺序确定中选机构。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pPr>
        <w:spacing w:line="360" w:lineRule="auto"/>
        <w:ind w:firstLine="420" w:firstLineChars="200"/>
      </w:pPr>
      <w:r>
        <w:rPr>
          <w:rFonts w:hint="eastAsia" w:ascii="宋体" w:hAnsi="宋体" w:cs="宋体"/>
        </w:rPr>
        <w:t>二、初步评审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1"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hint="eastAsia" w:ascii="宋体" w:hAnsi="宋体" w:cs="宋体"/>
              </w:rPr>
            </w:pPr>
            <w:r>
              <w:rPr>
                <w:rFonts w:hint="eastAsia" w:ascii="宋体" w:hAnsi="宋体" w:cs="宋体"/>
              </w:rPr>
              <w:t>（2）</w:t>
            </w:r>
            <w:r>
              <w:rPr>
                <w:rFonts w:hint="eastAsia" w:ascii="宋体" w:hAnsi="宋体" w:cs="仿宋"/>
                <w:szCs w:val="21"/>
                <w:lang w:eastAsia="zh-CN"/>
              </w:rPr>
              <w:t>投标人</w:t>
            </w:r>
            <w:r>
              <w:rPr>
                <w:rFonts w:hint="eastAsia" w:ascii="宋体" w:hAnsi="宋体" w:cs="仿宋"/>
                <w:szCs w:val="21"/>
              </w:rPr>
              <w:t>营业执照经营范围</w:t>
            </w:r>
            <w:r>
              <w:rPr>
                <w:rFonts w:hint="eastAsia" w:ascii="宋体" w:hAnsi="宋体" w:cs="仿宋"/>
                <w:szCs w:val="21"/>
                <w:lang w:eastAsia="zh-CN"/>
              </w:rPr>
              <w:t>需包含下水道、市政工程维修施工，或</w:t>
            </w:r>
            <w:r>
              <w:rPr>
                <w:rFonts w:hint="eastAsia" w:ascii="宋体" w:hAnsi="宋体" w:cs="仿宋"/>
                <w:szCs w:val="21"/>
              </w:rPr>
              <w:t>具有建设主管部门核发的市政公用工程施工资质</w:t>
            </w:r>
            <w:r>
              <w:rPr>
                <w:rFonts w:hint="eastAsia" w:ascii="宋体" w:hAnsi="宋体" w:cs="仿宋"/>
                <w:szCs w:val="21"/>
                <w:lang w:eastAsia="zh-CN"/>
              </w:rPr>
              <w:t>，或</w:t>
            </w:r>
            <w:r>
              <w:rPr>
                <w:rFonts w:hint="eastAsia" w:ascii="宋体" w:hAnsi="宋体" w:cs="仿宋"/>
                <w:szCs w:val="21"/>
              </w:rPr>
              <w:t>具有建设主管部门核发的安全生产许可证</w:t>
            </w:r>
            <w:r>
              <w:rPr>
                <w:rFonts w:hint="eastAsia" w:ascii="宋体" w:hAnsi="宋体" w:cs="仿宋"/>
                <w:szCs w:val="21"/>
                <w:lang w:eastAsia="zh-CN"/>
              </w:rPr>
              <w:t>，</w:t>
            </w:r>
            <w:r>
              <w:rPr>
                <w:rFonts w:hint="eastAsia" w:ascii="宋体" w:hAnsi="宋体" w:cs="仿宋"/>
                <w:szCs w:val="21"/>
              </w:rPr>
              <w:t>且人员、设备、资金等方面具有相应的施工</w:t>
            </w:r>
            <w:r>
              <w:rPr>
                <w:rFonts w:hint="eastAsia" w:ascii="宋体" w:hAnsi="宋体" w:cs="仿宋"/>
                <w:szCs w:val="21"/>
                <w:lang w:eastAsia="zh-CN"/>
              </w:rPr>
              <w:t>作</w:t>
            </w:r>
            <w:r>
              <w:rPr>
                <w:rFonts w:hint="eastAsia" w:ascii="宋体" w:hAnsi="宋体" w:cs="宋体"/>
                <w:lang w:eastAsia="zh-CN"/>
              </w:rPr>
              <w:t>业</w:t>
            </w:r>
            <w:r>
              <w:rPr>
                <w:rFonts w:hint="eastAsia" w:ascii="宋体" w:hAnsi="宋体" w:cs="宋体"/>
              </w:rPr>
              <w:t>能力</w:t>
            </w:r>
            <w:r>
              <w:rPr>
                <w:rFonts w:hint="eastAsia" w:ascii="宋体" w:hAnsi="宋体" w:cs="宋体"/>
                <w:lang w:eastAsia="zh-CN"/>
              </w:rPr>
              <w:t>和水平</w:t>
            </w:r>
            <w:r>
              <w:rPr>
                <w:rFonts w:hint="eastAsia" w:ascii="宋体" w:hAnsi="宋体" w:cs="宋体"/>
              </w:rPr>
              <w:t>；</w:t>
            </w:r>
          </w:p>
          <w:p>
            <w:pPr>
              <w:adjustRightInd/>
              <w:spacing w:line="360" w:lineRule="auto"/>
              <w:jc w:val="both"/>
              <w:textAlignment w:val="auto"/>
            </w:pPr>
            <w:r>
              <w:rPr>
                <w:rFonts w:hint="eastAsia" w:ascii="宋体" w:hAnsi="宋体" w:cs="宋体"/>
              </w:rPr>
              <w:t>（</w:t>
            </w:r>
            <w:r>
              <w:rPr>
                <w:rFonts w:hint="eastAsia" w:ascii="宋体" w:hAnsi="宋体" w:cs="宋体"/>
                <w:lang w:val="en-US" w:eastAsia="zh-CN"/>
              </w:rPr>
              <w:t>3</w:t>
            </w:r>
            <w:r>
              <w:rPr>
                <w:rFonts w:hint="eastAsia" w:ascii="宋体" w:hAnsi="宋体" w:cs="宋体"/>
              </w:rPr>
              <w:t>）不属于回避单位。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rPr>
              <w:t>按采购人的要求进行有效报价，</w:t>
            </w:r>
            <w:r>
              <w:rPr>
                <w:rFonts w:hint="eastAsia" w:cs="宋体"/>
                <w:b w:val="0"/>
                <w:bCs w:val="0"/>
                <w:color w:val="auto"/>
                <w:sz w:val="21"/>
                <w:szCs w:val="21"/>
                <w:highlight w:val="none"/>
                <w:lang w:val="en-US" w:eastAsia="zh-CN"/>
              </w:rPr>
              <w:t>报价方式为下浮率报价，</w:t>
            </w:r>
            <w:r>
              <w:rPr>
                <w:rFonts w:hint="eastAsia"/>
                <w:color w:val="auto"/>
                <w:sz w:val="21"/>
                <w:szCs w:val="21"/>
                <w:highlight w:val="none"/>
                <w:lang w:val="en-US" w:eastAsia="zh-CN"/>
              </w:rPr>
              <w:t>投标报价下浮率小数点后保留两位</w:t>
            </w:r>
            <w:r>
              <w:rPr>
                <w:rFonts w:cs="宋体"/>
              </w:rPr>
              <w:t>。</w:t>
            </w:r>
          </w:p>
        </w:tc>
      </w:tr>
    </w:tbl>
    <w:p>
      <w:pPr>
        <w:pStyle w:val="2"/>
        <w:sectPr>
          <w:headerReference r:id="rId5" w:type="default"/>
          <w:pgSz w:w="11906" w:h="16838"/>
          <w:pgMar w:top="1440" w:right="1800" w:bottom="1440" w:left="1800" w:header="567" w:footer="992" w:gutter="0"/>
          <w:cols w:space="720" w:num="1"/>
          <w:docGrid w:type="lines" w:linePitch="312" w:charSpace="0"/>
        </w:sectPr>
      </w:pPr>
    </w:p>
    <w:p>
      <w:pPr>
        <w:numPr>
          <w:ilvl w:val="0"/>
          <w:numId w:val="1"/>
        </w:numPr>
        <w:spacing w:line="360" w:lineRule="auto"/>
        <w:ind w:firstLine="420" w:firstLineChars="200"/>
        <w:rPr>
          <w:rFonts w:hint="eastAsia" w:ascii="宋体" w:hAnsi="宋体" w:cs="宋体"/>
        </w:rPr>
      </w:pPr>
      <w:r>
        <w:rPr>
          <w:rFonts w:hint="eastAsia" w:ascii="宋体" w:hAnsi="宋体" w:cs="宋体"/>
        </w:rPr>
        <w:t>详细评审</w:t>
      </w:r>
    </w:p>
    <w:tbl>
      <w:tblPr>
        <w:tblStyle w:val="9"/>
        <w:tblpPr w:leftFromText="180" w:rightFromText="180" w:vertAnchor="text" w:horzAnchor="page" w:tblpX="939" w:tblpY="686"/>
        <w:tblOverlap w:val="never"/>
        <w:tblW w:w="4969" w:type="pct"/>
        <w:tblInd w:w="0" w:type="dxa"/>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Layout w:type="fixed"/>
        <w:tblCellMar>
          <w:top w:w="0" w:type="dxa"/>
          <w:left w:w="108" w:type="dxa"/>
          <w:bottom w:w="0" w:type="dxa"/>
          <w:right w:w="108" w:type="dxa"/>
        </w:tblCellMar>
      </w:tblPr>
      <w:tblGrid>
        <w:gridCol w:w="638"/>
        <w:gridCol w:w="1487"/>
        <w:gridCol w:w="11802"/>
        <w:gridCol w:w="930"/>
        <w:gridCol w:w="660"/>
      </w:tblGrid>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435" w:hRule="atLeast"/>
        </w:trPr>
        <w:tc>
          <w:tcPr>
            <w:tcW w:w="205" w:type="pct"/>
            <w:tcBorders>
              <w:tl2br w:val="nil"/>
              <w:tr2bl w:val="nil"/>
            </w:tcBorders>
            <w:noWrap w:val="0"/>
            <w:vAlign w:val="center"/>
          </w:tcPr>
          <w:p>
            <w:pPr>
              <w:spacing w:line="276" w:lineRule="auto"/>
              <w:jc w:val="center"/>
              <w:rPr>
                <w:rFonts w:ascii="宋体" w:hAnsi="宋体"/>
                <w:b/>
                <w:bCs/>
                <w:color w:val="auto"/>
                <w:szCs w:val="21"/>
                <w:highlight w:val="none"/>
              </w:rPr>
            </w:pPr>
            <w:r>
              <w:rPr>
                <w:rFonts w:hint="eastAsia" w:ascii="宋体" w:hAnsi="宋体" w:cs="宋体"/>
                <w:b/>
                <w:bCs/>
                <w:color w:val="auto"/>
                <w:szCs w:val="21"/>
                <w:highlight w:val="none"/>
              </w:rPr>
              <w:t>序号</w:t>
            </w:r>
          </w:p>
        </w:tc>
        <w:tc>
          <w:tcPr>
            <w:tcW w:w="479" w:type="pct"/>
            <w:tcBorders>
              <w:tl2br w:val="nil"/>
              <w:tr2bl w:val="nil"/>
            </w:tcBorders>
            <w:noWrap w:val="0"/>
            <w:vAlign w:val="center"/>
          </w:tcPr>
          <w:p>
            <w:pPr>
              <w:spacing w:line="276" w:lineRule="auto"/>
              <w:jc w:val="center"/>
              <w:rPr>
                <w:rFonts w:ascii="宋体" w:hAnsi="宋体"/>
                <w:b/>
                <w:bCs/>
                <w:color w:val="auto"/>
                <w:szCs w:val="21"/>
                <w:highlight w:val="none"/>
              </w:rPr>
            </w:pPr>
            <w:r>
              <w:rPr>
                <w:rFonts w:hint="eastAsia" w:ascii="宋体" w:hAnsi="宋体" w:cs="宋体"/>
                <w:b/>
                <w:bCs/>
                <w:color w:val="auto"/>
                <w:szCs w:val="21"/>
                <w:highlight w:val="none"/>
              </w:rPr>
              <w:t>评审项目</w:t>
            </w:r>
          </w:p>
        </w:tc>
        <w:tc>
          <w:tcPr>
            <w:tcW w:w="3803" w:type="pct"/>
            <w:tcBorders>
              <w:tl2br w:val="nil"/>
              <w:tr2bl w:val="nil"/>
            </w:tcBorders>
            <w:noWrap w:val="0"/>
            <w:vAlign w:val="center"/>
          </w:tcPr>
          <w:p>
            <w:pPr>
              <w:spacing w:line="276" w:lineRule="auto"/>
              <w:jc w:val="center"/>
              <w:rPr>
                <w:rFonts w:ascii="宋体" w:hAnsi="宋体"/>
                <w:b/>
                <w:bCs/>
                <w:color w:val="auto"/>
                <w:szCs w:val="21"/>
                <w:highlight w:val="none"/>
              </w:rPr>
            </w:pPr>
            <w:r>
              <w:rPr>
                <w:rFonts w:hint="eastAsia" w:ascii="宋体" w:hAnsi="宋体" w:cs="黑体"/>
                <w:kern w:val="0"/>
              </w:rPr>
              <w:t>评审标准分值</w:t>
            </w:r>
          </w:p>
        </w:tc>
        <w:tc>
          <w:tcPr>
            <w:tcW w:w="299" w:type="pct"/>
            <w:tcBorders>
              <w:tl2br w:val="nil"/>
              <w:tr2bl w:val="nil"/>
            </w:tcBorders>
            <w:noWrap w:val="0"/>
            <w:vAlign w:val="center"/>
          </w:tcPr>
          <w:p>
            <w:pPr>
              <w:spacing w:line="276" w:lineRule="auto"/>
              <w:jc w:val="center"/>
              <w:rPr>
                <w:rFonts w:ascii="宋体" w:hAnsi="宋体"/>
                <w:b/>
                <w:bCs/>
                <w:color w:val="auto"/>
                <w:szCs w:val="21"/>
                <w:highlight w:val="none"/>
              </w:rPr>
            </w:pPr>
            <w:r>
              <w:rPr>
                <w:rFonts w:hint="eastAsia" w:ascii="宋体" w:hAnsi="宋体" w:cs="宋体"/>
                <w:b/>
                <w:bCs/>
                <w:color w:val="auto"/>
                <w:szCs w:val="21"/>
                <w:highlight w:val="none"/>
              </w:rPr>
              <w:t>分值</w:t>
            </w:r>
          </w:p>
        </w:tc>
        <w:tc>
          <w:tcPr>
            <w:tcW w:w="212" w:type="pct"/>
            <w:tcBorders>
              <w:tl2br w:val="nil"/>
              <w:tr2bl w:val="nil"/>
            </w:tcBorders>
            <w:noWrap w:val="0"/>
            <w:vAlign w:val="center"/>
          </w:tcPr>
          <w:p>
            <w:pPr>
              <w:spacing w:line="276"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得分</w:t>
            </w: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939" w:hRule="atLeast"/>
        </w:trPr>
        <w:tc>
          <w:tcPr>
            <w:tcW w:w="205" w:type="pct"/>
            <w:tcBorders>
              <w:tl2br w:val="nil"/>
              <w:tr2bl w:val="nil"/>
            </w:tcBorders>
            <w:noWrap w:val="0"/>
            <w:vAlign w:val="center"/>
          </w:tcPr>
          <w:p>
            <w:pPr>
              <w:spacing w:line="276" w:lineRule="auto"/>
              <w:ind w:firstLine="14" w:firstLineChars="7"/>
              <w:jc w:val="center"/>
              <w:rPr>
                <w:rFonts w:hint="eastAsia" w:ascii="宋体" w:hAnsi="宋体" w:eastAsia="宋体"/>
                <w:color w:val="auto"/>
                <w:szCs w:val="21"/>
                <w:highlight w:val="none"/>
                <w:lang w:eastAsia="zh-CN"/>
              </w:rPr>
            </w:pPr>
            <w:r>
              <w:rPr>
                <w:rFonts w:hint="eastAsia"/>
                <w:color w:val="auto"/>
                <w:szCs w:val="21"/>
                <w:highlight w:val="none"/>
                <w:lang w:val="en-US" w:eastAsia="zh-CN"/>
              </w:rPr>
              <w:t>1</w:t>
            </w:r>
          </w:p>
        </w:tc>
        <w:tc>
          <w:tcPr>
            <w:tcW w:w="479" w:type="pct"/>
            <w:tcBorders>
              <w:tl2br w:val="nil"/>
              <w:tr2bl w:val="nil"/>
            </w:tcBorders>
            <w:noWrap w:val="0"/>
            <w:vAlign w:val="center"/>
          </w:tcPr>
          <w:p>
            <w:pPr>
              <w:spacing w:line="240" w:lineRule="auto"/>
              <w:jc w:val="center"/>
              <w:rPr>
                <w:rFonts w:ascii="宋体" w:hAnsi="宋体"/>
                <w:color w:val="auto"/>
                <w:szCs w:val="21"/>
                <w:highlight w:val="none"/>
              </w:rPr>
            </w:pPr>
            <w:r>
              <w:rPr>
                <w:rFonts w:hint="eastAsia" w:ascii="宋体" w:hAnsi="宋体" w:eastAsia="宋体" w:cs="宋体"/>
                <w:sz w:val="21"/>
                <w:szCs w:val="21"/>
                <w:lang w:val="en-US" w:eastAsia="zh-CN"/>
              </w:rPr>
              <w:t>同类</w:t>
            </w:r>
            <w:r>
              <w:rPr>
                <w:rFonts w:hint="eastAsia" w:ascii="宋体" w:hAnsi="宋体" w:cs="宋体"/>
                <w:sz w:val="21"/>
                <w:szCs w:val="21"/>
                <w:lang w:val="en-US" w:eastAsia="zh-CN"/>
              </w:rPr>
              <w:t>项目</w:t>
            </w:r>
            <w:r>
              <w:rPr>
                <w:rFonts w:hint="eastAsia" w:ascii="宋体" w:hAnsi="宋体" w:eastAsia="宋体" w:cs="宋体"/>
                <w:sz w:val="21"/>
                <w:szCs w:val="21"/>
                <w:lang w:val="en-US" w:eastAsia="zh-CN"/>
              </w:rPr>
              <w:t>业绩</w:t>
            </w:r>
          </w:p>
        </w:tc>
        <w:tc>
          <w:tcPr>
            <w:tcW w:w="3803" w:type="pct"/>
            <w:tcBorders>
              <w:tl2br w:val="nil"/>
              <w:tr2bl w:val="nil"/>
            </w:tcBorders>
            <w:noWrap w:val="0"/>
            <w:vAlign w:val="center"/>
          </w:tcPr>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投标人自202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年1月1日至投标截止时间止，具有同类业绩每有一项得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分，无得0分。本项最高得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b/>
                <w:bCs/>
                <w:kern w:val="2"/>
                <w:sz w:val="18"/>
                <w:szCs w:val="18"/>
                <w:highlight w:val="none"/>
                <w:lang w:val="en-US" w:eastAsia="zh-CN" w:bidi="ar-SA"/>
              </w:rPr>
              <w:t>注：</w:t>
            </w:r>
            <w:r>
              <w:rPr>
                <w:rFonts w:hint="eastAsia" w:ascii="宋体" w:hAnsi="宋体" w:eastAsia="宋体" w:cs="宋体"/>
                <w:kern w:val="2"/>
                <w:sz w:val="18"/>
                <w:szCs w:val="18"/>
                <w:highlight w:val="none"/>
                <w:lang w:val="en-US" w:eastAsia="zh-CN" w:bidi="ar-SA"/>
              </w:rPr>
              <w:t>提供合同/协议复印件并加盖投标人公章，时间以合同/协议签订时间为准,合同/协议关键页能体现服务内容</w:t>
            </w:r>
            <w:r>
              <w:rPr>
                <w:rFonts w:hint="eastAsia" w:ascii="宋体" w:hAnsi="宋体" w:cs="宋体"/>
                <w:color w:val="000000" w:themeColor="text1"/>
                <w:sz w:val="21"/>
                <w:szCs w:val="21"/>
                <w:highlight w:val="none"/>
                <w:lang w:val="en-US" w:eastAsia="zh-CN"/>
                <w14:textFill>
                  <w14:solidFill>
                    <w14:schemeClr w14:val="tx1"/>
                  </w14:solidFill>
                </w14:textFill>
              </w:rPr>
              <w:t>。</w:t>
            </w:r>
          </w:p>
        </w:tc>
        <w:tc>
          <w:tcPr>
            <w:tcW w:w="299" w:type="pct"/>
            <w:tcBorders>
              <w:tl2br w:val="nil"/>
              <w:tr2bl w:val="nil"/>
            </w:tcBorders>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12" w:type="pct"/>
            <w:tcBorders>
              <w:tl2br w:val="nil"/>
              <w:tr2bl w:val="nil"/>
            </w:tcBorders>
            <w:noWrap w:val="0"/>
            <w:vAlign w:val="center"/>
          </w:tcPr>
          <w:p>
            <w:pPr>
              <w:spacing w:line="276" w:lineRule="auto"/>
              <w:jc w:val="center"/>
              <w:rPr>
                <w:rFonts w:hint="eastAsia" w:cs="宋体"/>
                <w:color w:val="auto"/>
                <w:szCs w:val="21"/>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1499" w:hRule="atLeast"/>
        </w:trPr>
        <w:tc>
          <w:tcPr>
            <w:tcW w:w="205" w:type="pct"/>
            <w:tcBorders>
              <w:tl2br w:val="nil"/>
              <w:tr2bl w:val="nil"/>
            </w:tcBorders>
            <w:noWrap w:val="0"/>
            <w:vAlign w:val="center"/>
          </w:tcPr>
          <w:p>
            <w:pPr>
              <w:spacing w:line="276" w:lineRule="auto"/>
              <w:ind w:firstLine="14" w:firstLineChars="7"/>
              <w:jc w:val="center"/>
              <w:rPr>
                <w:rFonts w:hint="default" w:ascii="宋体" w:hAnsi="宋体"/>
                <w:color w:val="auto"/>
                <w:szCs w:val="21"/>
                <w:highlight w:val="none"/>
                <w:lang w:val="en-US" w:eastAsia="zh-CN"/>
              </w:rPr>
            </w:pPr>
            <w:r>
              <w:rPr>
                <w:rFonts w:hint="eastAsia"/>
                <w:color w:val="auto"/>
                <w:szCs w:val="21"/>
                <w:highlight w:val="none"/>
                <w:lang w:val="en-US" w:eastAsia="zh-CN"/>
              </w:rPr>
              <w:t>2</w:t>
            </w:r>
          </w:p>
        </w:tc>
        <w:tc>
          <w:tcPr>
            <w:tcW w:w="479" w:type="pct"/>
            <w:tcBorders>
              <w:tl2br w:val="nil"/>
              <w:tr2bl w:val="nil"/>
            </w:tcBorders>
            <w:noWrap w:val="0"/>
            <w:vAlign w:val="center"/>
          </w:tcPr>
          <w:p>
            <w:pPr>
              <w:spacing w:line="240" w:lineRule="auto"/>
              <w:jc w:val="center"/>
              <w:rPr>
                <w:rFonts w:hint="eastAsia" w:ascii="宋体" w:hAnsi="宋体" w:eastAsia="宋体" w:cs="宋体"/>
                <w:color w:val="auto"/>
                <w:szCs w:val="21"/>
                <w:highlight w:val="none"/>
                <w:lang w:eastAsia="zh-CN"/>
              </w:rPr>
            </w:pPr>
            <w:r>
              <w:rPr>
                <w:rFonts w:hint="eastAsia" w:ascii="宋体" w:hAnsi="宋体" w:cs="宋体"/>
                <w:sz w:val="21"/>
                <w:szCs w:val="21"/>
                <w:lang w:eastAsia="zh-CN"/>
              </w:rPr>
              <w:t>企业设备配置</w:t>
            </w:r>
          </w:p>
        </w:tc>
        <w:tc>
          <w:tcPr>
            <w:tcW w:w="3803" w:type="pct"/>
            <w:tcBorders>
              <w:tl2br w:val="nil"/>
              <w:tr2bl w:val="nil"/>
            </w:tcBorders>
            <w:noWrap w:val="0"/>
            <w:vAlign w:val="center"/>
          </w:tcPr>
          <w:p>
            <w:pPr>
              <w:spacing w:line="24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投标人自有或租赁</w:t>
            </w:r>
            <w:r>
              <w:rPr>
                <w:rFonts w:hint="eastAsia" w:ascii="宋体" w:hAnsi="宋体" w:cs="宋体"/>
                <w:sz w:val="21"/>
                <w:szCs w:val="21"/>
                <w:highlight w:val="none"/>
                <w:lang w:val="en-US" w:eastAsia="zh-CN"/>
              </w:rPr>
              <w:t>以下设备</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每类设备提供完整资料证明得</w:t>
            </w:r>
            <w:r>
              <w:rPr>
                <w:rFonts w:hint="eastAsia" w:ascii="宋体" w:hAnsi="宋体" w:cs="宋体"/>
                <w:sz w:val="21"/>
                <w:szCs w:val="21"/>
                <w:highlight w:val="none"/>
                <w:lang w:val="en-US" w:eastAsia="zh-CN"/>
              </w:rPr>
              <w:t>3分，三项共15分：</w:t>
            </w:r>
          </w:p>
          <w:p>
            <w:pPr>
              <w:pStyle w:val="2"/>
              <w:numPr>
                <w:ilvl w:val="0"/>
                <w:numId w:val="2"/>
              </w:numPr>
              <w:rPr>
                <w:rFonts w:hint="default"/>
                <w:lang w:val="en-US" w:eastAsia="zh-CN"/>
              </w:rPr>
            </w:pPr>
            <w:r>
              <w:rPr>
                <w:rFonts w:hint="eastAsia" w:hAnsi="宋体" w:cs="宋体"/>
                <w:sz w:val="21"/>
                <w:szCs w:val="21"/>
                <w:highlight w:val="none"/>
                <w:lang w:val="en-US" w:eastAsia="zh-CN"/>
              </w:rPr>
              <w:t>清洗吸污车；2.辆抢险工程车3.管道检测设备：至少包含CCTV管道机器人及QV管道潜望镜</w:t>
            </w:r>
          </w:p>
          <w:p>
            <w:pPr>
              <w:pStyle w:val="3"/>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b/>
                <w:bCs/>
                <w:sz w:val="18"/>
                <w:szCs w:val="18"/>
                <w:highlight w:val="none"/>
              </w:rPr>
              <w:t>注：</w:t>
            </w:r>
            <w:r>
              <w:rPr>
                <w:rFonts w:hint="eastAsia" w:ascii="宋体" w:hAnsi="宋体" w:eastAsia="宋体" w:cs="宋体"/>
                <w:sz w:val="18"/>
                <w:szCs w:val="18"/>
                <w:highlight w:val="none"/>
              </w:rPr>
              <w:t>投标人提供</w:t>
            </w:r>
            <w:r>
              <w:rPr>
                <w:rFonts w:hint="eastAsia" w:ascii="宋体" w:hAnsi="宋体" w:eastAsia="宋体" w:cs="宋体"/>
                <w:sz w:val="18"/>
                <w:szCs w:val="18"/>
                <w:highlight w:val="none"/>
                <w:lang w:eastAsia="zh-CN"/>
              </w:rPr>
              <w:t>车辆设备</w:t>
            </w:r>
            <w:r>
              <w:rPr>
                <w:rFonts w:hint="eastAsia" w:ascii="宋体" w:hAnsi="宋体" w:cs="宋体"/>
                <w:sz w:val="18"/>
                <w:szCs w:val="18"/>
                <w:highlight w:val="none"/>
                <w:lang w:eastAsia="zh-CN"/>
              </w:rPr>
              <w:t>（</w:t>
            </w:r>
            <w:r>
              <w:rPr>
                <w:rFonts w:hint="eastAsia" w:ascii="宋体" w:hAnsi="宋体" w:eastAsia="宋体" w:cs="宋体"/>
                <w:sz w:val="18"/>
                <w:szCs w:val="18"/>
                <w:highlight w:val="none"/>
                <w:lang w:val="en-US" w:eastAsia="zh-CN"/>
              </w:rPr>
              <w:t>清洗吸污车</w:t>
            </w:r>
            <w:r>
              <w:rPr>
                <w:rFonts w:hint="eastAsia" w:ascii="宋体" w:hAnsi="宋体" w:cs="宋体"/>
                <w:sz w:val="18"/>
                <w:szCs w:val="18"/>
                <w:highlight w:val="none"/>
                <w:lang w:val="en-US" w:eastAsia="zh-CN"/>
              </w:rPr>
              <w:t>、抢险工程车</w:t>
            </w:r>
            <w:r>
              <w:rPr>
                <w:rFonts w:hint="eastAsia" w:ascii="宋体" w:hAnsi="宋体" w:cs="宋体"/>
                <w:sz w:val="18"/>
                <w:szCs w:val="18"/>
                <w:highlight w:val="none"/>
                <w:lang w:eastAsia="zh-CN"/>
              </w:rPr>
              <w:t>）</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发票（或租赁合同）扫描件并加盖投标人公章</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提供</w:t>
            </w:r>
            <w:r>
              <w:rPr>
                <w:rFonts w:hint="eastAsia" w:ascii="宋体" w:hAnsi="宋体" w:cs="宋体"/>
                <w:sz w:val="18"/>
                <w:szCs w:val="18"/>
                <w:highlight w:val="none"/>
                <w:lang w:eastAsia="zh-CN"/>
              </w:rPr>
              <w:t>检测设备</w:t>
            </w:r>
            <w:r>
              <w:rPr>
                <w:rFonts w:hint="eastAsia" w:ascii="宋体" w:hAnsi="宋体" w:cs="宋体"/>
                <w:sz w:val="18"/>
                <w:szCs w:val="18"/>
                <w:highlight w:val="none"/>
                <w:lang w:val="en-US" w:eastAsia="zh-CN"/>
              </w:rPr>
              <w:t>CCTV管道机器人及QV管道潜望镜采购发票（</w:t>
            </w:r>
            <w:r>
              <w:rPr>
                <w:rFonts w:hint="eastAsia" w:ascii="宋体" w:hAnsi="宋体" w:eastAsia="宋体" w:cs="宋体"/>
                <w:sz w:val="18"/>
                <w:szCs w:val="18"/>
                <w:highlight w:val="none"/>
              </w:rPr>
              <w:t>或租赁合同</w:t>
            </w:r>
            <w:r>
              <w:rPr>
                <w:rFonts w:hint="eastAsia" w:ascii="宋体" w:hAnsi="宋体" w:cs="宋体"/>
                <w:sz w:val="18"/>
                <w:szCs w:val="18"/>
                <w:highlight w:val="none"/>
                <w:lang w:val="en-US" w:eastAsia="zh-CN"/>
              </w:rPr>
              <w:t>）</w:t>
            </w:r>
            <w:bookmarkStart w:id="0" w:name="_GoBack"/>
            <w:bookmarkEnd w:id="0"/>
            <w:r>
              <w:rPr>
                <w:rFonts w:hint="eastAsia" w:ascii="宋体" w:hAnsi="宋体" w:eastAsia="宋体" w:cs="宋体"/>
                <w:sz w:val="18"/>
                <w:szCs w:val="18"/>
                <w:highlight w:val="none"/>
              </w:rPr>
              <w:t>扫描件并加盖投标人公章</w:t>
            </w:r>
            <w:r>
              <w:rPr>
                <w:rFonts w:hint="eastAsia" w:ascii="宋体" w:hAnsi="宋体" w:cs="宋体"/>
                <w:sz w:val="18"/>
                <w:szCs w:val="18"/>
                <w:highlight w:val="none"/>
                <w:lang w:eastAsia="zh-CN"/>
              </w:rPr>
              <w:t>。</w:t>
            </w:r>
          </w:p>
        </w:tc>
        <w:tc>
          <w:tcPr>
            <w:tcW w:w="299" w:type="pct"/>
            <w:tcBorders>
              <w:tl2br w:val="nil"/>
              <w:tr2bl w:val="nil"/>
            </w:tcBorders>
            <w:noWrap w:val="0"/>
            <w:vAlign w:val="center"/>
          </w:tcPr>
          <w:p>
            <w:pPr>
              <w:spacing w:line="276" w:lineRule="auto"/>
              <w:jc w:val="center"/>
              <w:rPr>
                <w:rFonts w:hint="default" w:ascii="宋体" w:hAnsi="宋体" w:cs="宋体"/>
                <w:color w:val="auto"/>
                <w:szCs w:val="21"/>
                <w:highlight w:val="none"/>
                <w:lang w:val="en-US" w:eastAsia="zh-CN"/>
              </w:rPr>
            </w:pPr>
            <w:r>
              <w:rPr>
                <w:rFonts w:hint="eastAsia" w:cs="宋体"/>
                <w:color w:val="auto"/>
                <w:szCs w:val="21"/>
                <w:highlight w:val="none"/>
                <w:lang w:val="en-US" w:eastAsia="zh-CN"/>
              </w:rPr>
              <w:t>15</w:t>
            </w:r>
          </w:p>
        </w:tc>
        <w:tc>
          <w:tcPr>
            <w:tcW w:w="212" w:type="pct"/>
            <w:tcBorders>
              <w:tl2br w:val="nil"/>
              <w:tr2bl w:val="nil"/>
            </w:tcBorders>
            <w:noWrap w:val="0"/>
            <w:vAlign w:val="center"/>
          </w:tcPr>
          <w:p>
            <w:pPr>
              <w:spacing w:line="276" w:lineRule="auto"/>
              <w:jc w:val="both"/>
              <w:rPr>
                <w:rFonts w:hint="eastAsia" w:cs="宋体"/>
                <w:color w:val="auto"/>
                <w:szCs w:val="21"/>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1290" w:hRule="atLeast"/>
        </w:trPr>
        <w:tc>
          <w:tcPr>
            <w:tcW w:w="205" w:type="pct"/>
            <w:tcBorders>
              <w:tl2br w:val="nil"/>
              <w:tr2bl w:val="nil"/>
            </w:tcBorders>
            <w:noWrap w:val="0"/>
            <w:vAlign w:val="center"/>
          </w:tcPr>
          <w:p>
            <w:pPr>
              <w:spacing w:line="276" w:lineRule="auto"/>
              <w:ind w:firstLine="14" w:firstLineChars="7"/>
              <w:jc w:val="center"/>
              <w:rPr>
                <w:rFonts w:hint="default"/>
                <w:color w:val="auto"/>
                <w:szCs w:val="21"/>
                <w:highlight w:val="none"/>
                <w:lang w:val="en-US" w:eastAsia="zh-CN"/>
              </w:rPr>
            </w:pPr>
            <w:r>
              <w:rPr>
                <w:rFonts w:hint="eastAsia"/>
                <w:color w:val="auto"/>
                <w:szCs w:val="21"/>
                <w:highlight w:val="none"/>
                <w:lang w:val="en-US" w:eastAsia="zh-CN"/>
              </w:rPr>
              <w:t>3</w:t>
            </w:r>
          </w:p>
        </w:tc>
        <w:tc>
          <w:tcPr>
            <w:tcW w:w="479" w:type="pct"/>
            <w:tcBorders>
              <w:tl2br w:val="nil"/>
              <w:tr2bl w:val="nil"/>
            </w:tcBorders>
            <w:noWrap w:val="0"/>
            <w:vAlign w:val="center"/>
          </w:tcPr>
          <w:p>
            <w:pPr>
              <w:spacing w:line="240" w:lineRule="auto"/>
              <w:jc w:val="center"/>
              <w:rPr>
                <w:rFonts w:hint="default" w:ascii="宋体" w:hAnsi="宋体" w:eastAsia="宋体" w:cs="宋体"/>
                <w:color w:val="auto"/>
                <w:sz w:val="21"/>
                <w:szCs w:val="21"/>
                <w:highlight w:val="yellow"/>
                <w:lang w:val="en-US" w:eastAsia="zh-CN"/>
              </w:rPr>
            </w:pPr>
            <w:r>
              <w:rPr>
                <w:rFonts w:hint="eastAsia" w:ascii="宋体" w:hAnsi="宋体" w:cs="宋体"/>
                <w:sz w:val="21"/>
                <w:szCs w:val="21"/>
                <w:lang w:val="en-US" w:eastAsia="zh-CN"/>
              </w:rPr>
              <w:t xml:space="preserve">企业实力及应急处置实施承诺 </w:t>
            </w:r>
          </w:p>
        </w:tc>
        <w:tc>
          <w:tcPr>
            <w:tcW w:w="3803" w:type="pct"/>
            <w:tcBorders>
              <w:tl2br w:val="nil"/>
              <w:tr2bl w:val="nil"/>
            </w:tcBorders>
            <w:noWrap w:val="0"/>
            <w:vAlign w:val="center"/>
          </w:tcPr>
          <w:p>
            <w:pPr>
              <w:pStyle w:val="3"/>
              <w:numPr>
                <w:ilvl w:val="0"/>
                <w:numId w:val="0"/>
              </w:numPr>
              <w:spacing w:line="240" w:lineRule="auto"/>
              <w:ind w:left="0" w:leftChars="0" w:firstLine="0" w:firstLineChars="0"/>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w:t>
            </w:r>
            <w:r>
              <w:rPr>
                <w:rFonts w:hint="eastAsia" w:ascii="宋体" w:hAnsi="宋体" w:cs="宋体"/>
                <w:sz w:val="21"/>
                <w:szCs w:val="21"/>
                <w:lang w:val="en-US" w:eastAsia="zh-CN" w:bidi="zh-CN"/>
              </w:rPr>
              <w:t>①</w:t>
            </w:r>
            <w:r>
              <w:rPr>
                <w:rFonts w:hint="eastAsia" w:ascii="宋体" w:hAnsi="宋体" w:eastAsia="宋体" w:cs="宋体"/>
                <w:sz w:val="21"/>
                <w:szCs w:val="21"/>
                <w:lang w:val="en-US" w:eastAsia="zh-CN"/>
              </w:rPr>
              <w:t>投标人具有行业主管部门颁发的有效期内安全生产许可证，得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②</w:t>
            </w:r>
            <w:r>
              <w:rPr>
                <w:rFonts w:hint="eastAsia" w:ascii="宋体" w:hAnsi="宋体" w:eastAsia="宋体" w:cs="宋体"/>
                <w:sz w:val="21"/>
                <w:szCs w:val="21"/>
                <w:lang w:val="en-US" w:eastAsia="zh-CN"/>
              </w:rPr>
              <w:t>投标人具有有限空间作业服务企业资质证书的，得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p>
            <w:pPr>
              <w:pStyle w:val="3"/>
              <w:numPr>
                <w:ilvl w:val="0"/>
                <w:numId w:val="0"/>
              </w:numPr>
              <w:spacing w:line="240" w:lineRule="auto"/>
              <w:ind w:left="0" w:leftChars="0" w:firstLine="0" w:firstLineChars="0"/>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投标人提供应急服务承诺函，内容包含以下5条即可，全部包含得满分10分；缺任意一条扣2分，扣完为止，未提供承诺函的得0分。</w:t>
            </w:r>
          </w:p>
          <w:p>
            <w:pPr>
              <w:pStyle w:val="3"/>
              <w:numPr>
                <w:ilvl w:val="0"/>
                <w:numId w:val="0"/>
              </w:numPr>
              <w:spacing w:line="240" w:lineRule="auto"/>
              <w:ind w:leftChars="0"/>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①</w:t>
            </w:r>
            <w:r>
              <w:rPr>
                <w:rFonts w:hint="eastAsia" w:ascii="宋体" w:hAnsi="宋体" w:eastAsia="宋体" w:cs="宋体"/>
                <w:kern w:val="0"/>
                <w:sz w:val="21"/>
                <w:szCs w:val="21"/>
                <w:highlight w:val="none"/>
                <w:lang w:val="en-US" w:eastAsia="zh-CN" w:bidi="ar-SA"/>
              </w:rPr>
              <w:t>可按指令随时开展污水管网清淤、清污处置作业；</w:t>
            </w:r>
            <w:r>
              <w:rPr>
                <w:rFonts w:hint="eastAsia" w:ascii="宋体" w:hAnsi="宋体" w:cs="宋体"/>
                <w:kern w:val="0"/>
                <w:sz w:val="21"/>
                <w:szCs w:val="21"/>
                <w:highlight w:val="none"/>
                <w:lang w:val="en-US" w:eastAsia="zh-CN" w:bidi="ar-SA"/>
              </w:rPr>
              <w:t>②</w:t>
            </w:r>
            <w:r>
              <w:rPr>
                <w:rFonts w:hint="eastAsia" w:ascii="宋体" w:hAnsi="宋体" w:eastAsia="宋体" w:cs="宋体"/>
                <w:kern w:val="0"/>
                <w:sz w:val="21"/>
                <w:szCs w:val="21"/>
                <w:highlight w:val="none"/>
                <w:lang w:val="en-US" w:eastAsia="zh-CN" w:bidi="ar-SA"/>
              </w:rPr>
              <w:t>具备管道气囊封堵、安装及拆除作业能力并按要求施工；</w:t>
            </w:r>
            <w:r>
              <w:rPr>
                <w:rFonts w:hint="eastAsia" w:ascii="宋体" w:hAnsi="宋体" w:cs="宋体"/>
                <w:kern w:val="0"/>
                <w:sz w:val="21"/>
                <w:szCs w:val="21"/>
                <w:highlight w:val="none"/>
                <w:lang w:val="en-US" w:eastAsia="zh-CN" w:bidi="ar-SA"/>
              </w:rPr>
              <w:t>③</w:t>
            </w:r>
            <w:r>
              <w:rPr>
                <w:rFonts w:hint="eastAsia" w:ascii="宋体" w:hAnsi="宋体" w:eastAsia="宋体" w:cs="宋体"/>
                <w:kern w:val="0"/>
                <w:sz w:val="21"/>
                <w:szCs w:val="21"/>
                <w:highlight w:val="none"/>
                <w:lang w:val="en-US" w:eastAsia="zh-CN" w:bidi="ar-SA"/>
              </w:rPr>
              <w:t>严格遵守有限空间作业安全管理规定，落实安全防护措施；</w:t>
            </w:r>
            <w:r>
              <w:rPr>
                <w:rFonts w:hint="eastAsia" w:ascii="宋体" w:hAnsi="宋体" w:cs="宋体"/>
                <w:kern w:val="0"/>
                <w:sz w:val="21"/>
                <w:szCs w:val="21"/>
                <w:highlight w:val="none"/>
                <w:lang w:val="en-US" w:eastAsia="zh-CN" w:bidi="ar-SA"/>
              </w:rPr>
              <w:t>④</w:t>
            </w:r>
            <w:r>
              <w:rPr>
                <w:rFonts w:hint="eastAsia" w:ascii="宋体" w:hAnsi="宋体" w:eastAsia="宋体" w:cs="宋体"/>
                <w:kern w:val="0"/>
                <w:sz w:val="21"/>
                <w:szCs w:val="21"/>
                <w:highlight w:val="none"/>
                <w:lang w:val="en-US" w:eastAsia="zh-CN" w:bidi="ar-SA"/>
              </w:rPr>
              <w:t>接到应急任务通知后，能够及时调配人员及设备到场处置；</w:t>
            </w:r>
            <w:r>
              <w:rPr>
                <w:rFonts w:hint="eastAsia" w:ascii="宋体" w:hAnsi="宋体" w:cs="宋体"/>
                <w:kern w:val="0"/>
                <w:sz w:val="21"/>
                <w:szCs w:val="21"/>
                <w:highlight w:val="none"/>
                <w:lang w:val="en-US" w:eastAsia="zh-CN" w:bidi="ar-SA"/>
              </w:rPr>
              <w:t>⑤</w:t>
            </w:r>
            <w:r>
              <w:rPr>
                <w:rFonts w:hint="eastAsia" w:ascii="宋体" w:hAnsi="宋体" w:eastAsia="宋体" w:cs="宋体"/>
                <w:kern w:val="0"/>
                <w:sz w:val="21"/>
                <w:szCs w:val="21"/>
                <w:highlight w:val="none"/>
                <w:lang w:val="en-US" w:eastAsia="zh-CN" w:bidi="ar-SA"/>
              </w:rPr>
              <w:t>作业完成后负责现场清理、恢复原状，保持环境整洁。</w:t>
            </w:r>
          </w:p>
          <w:p>
            <w:pPr>
              <w:pStyle w:val="3"/>
              <w:numPr>
                <w:ilvl w:val="0"/>
                <w:numId w:val="0"/>
              </w:numPr>
              <w:spacing w:line="240" w:lineRule="auto"/>
              <w:ind w:left="0" w:leftChars="0" w:firstLine="0" w:firstLineChars="0"/>
              <w:rPr>
                <w:rFonts w:hint="eastAsia" w:ascii="宋体" w:hAnsi="宋体" w:eastAsia="宋体" w:cs="宋体"/>
                <w:sz w:val="21"/>
                <w:szCs w:val="21"/>
                <w:highlight w:val="yellow"/>
                <w:lang w:val="en-US" w:eastAsia="zh-CN" w:bidi="zh-CN"/>
              </w:rPr>
            </w:pPr>
            <w:r>
              <w:rPr>
                <w:rFonts w:hint="eastAsia" w:ascii="宋体" w:hAnsi="宋体" w:eastAsia="宋体" w:cs="宋体"/>
                <w:b/>
                <w:bCs/>
                <w:kern w:val="2"/>
                <w:sz w:val="18"/>
                <w:szCs w:val="18"/>
                <w:highlight w:val="none"/>
                <w:lang w:val="en-US" w:eastAsia="zh-CN" w:bidi="ar-SA"/>
              </w:rPr>
              <w:t>注：</w:t>
            </w:r>
            <w:r>
              <w:rPr>
                <w:rFonts w:hint="eastAsia" w:ascii="宋体" w:hAnsi="宋体" w:eastAsia="宋体" w:cs="宋体"/>
                <w:kern w:val="2"/>
                <w:sz w:val="18"/>
                <w:szCs w:val="18"/>
                <w:highlight w:val="none"/>
                <w:lang w:val="en-US" w:eastAsia="zh-CN" w:bidi="ar-SA"/>
              </w:rPr>
              <w:t>投标人提供加盖公章承诺函原件或扫描件</w:t>
            </w:r>
            <w:r>
              <w:rPr>
                <w:rFonts w:hint="eastAsia" w:ascii="宋体" w:hAnsi="宋体" w:cs="宋体"/>
                <w:kern w:val="2"/>
                <w:sz w:val="18"/>
                <w:szCs w:val="18"/>
                <w:highlight w:val="none"/>
                <w:lang w:val="en-US" w:eastAsia="zh-CN" w:bidi="ar-SA"/>
              </w:rPr>
              <w:t>、</w:t>
            </w:r>
            <w:r>
              <w:rPr>
                <w:rFonts w:hint="eastAsia" w:ascii="宋体" w:hAnsi="宋体" w:eastAsia="宋体" w:cs="宋体"/>
                <w:sz w:val="21"/>
                <w:szCs w:val="21"/>
                <w:lang w:val="en-US" w:eastAsia="zh-CN"/>
              </w:rPr>
              <w:t>提供证书复印件加盖公章。</w:t>
            </w:r>
          </w:p>
        </w:tc>
        <w:tc>
          <w:tcPr>
            <w:tcW w:w="299" w:type="pct"/>
            <w:tcBorders>
              <w:tl2br w:val="nil"/>
              <w:tr2bl w:val="nil"/>
            </w:tcBorders>
            <w:noWrap w:val="0"/>
            <w:vAlign w:val="center"/>
          </w:tcPr>
          <w:p>
            <w:pPr>
              <w:spacing w:line="276" w:lineRule="auto"/>
              <w:jc w:val="center"/>
              <w:rPr>
                <w:rFonts w:hint="default" w:cs="宋体"/>
                <w:color w:val="auto"/>
                <w:szCs w:val="21"/>
                <w:highlight w:val="none"/>
                <w:lang w:eastAsia="zh-CN"/>
              </w:rPr>
            </w:pPr>
            <w:r>
              <w:rPr>
                <w:rFonts w:hint="default" w:cs="宋体"/>
                <w:color w:val="auto"/>
                <w:szCs w:val="21"/>
                <w:highlight w:val="none"/>
                <w:lang w:eastAsia="zh-CN"/>
              </w:rPr>
              <w:t>10</w:t>
            </w:r>
          </w:p>
        </w:tc>
        <w:tc>
          <w:tcPr>
            <w:tcW w:w="212" w:type="pct"/>
            <w:tcBorders>
              <w:tl2br w:val="nil"/>
              <w:tr2bl w:val="nil"/>
            </w:tcBorders>
            <w:noWrap w:val="0"/>
            <w:vAlign w:val="center"/>
          </w:tcPr>
          <w:p>
            <w:pPr>
              <w:spacing w:line="276" w:lineRule="auto"/>
              <w:jc w:val="center"/>
              <w:rPr>
                <w:rFonts w:hint="default" w:cs="宋体"/>
                <w:color w:val="auto"/>
                <w:szCs w:val="21"/>
                <w:highlight w:val="none"/>
                <w:lang w:eastAsia="zh-CN"/>
              </w:rPr>
            </w:pP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1135" w:hRule="atLeast"/>
        </w:trPr>
        <w:tc>
          <w:tcPr>
            <w:tcW w:w="205" w:type="pct"/>
            <w:tcBorders>
              <w:tl2br w:val="nil"/>
              <w:tr2bl w:val="nil"/>
            </w:tcBorders>
            <w:noWrap w:val="0"/>
            <w:vAlign w:val="center"/>
          </w:tcPr>
          <w:p>
            <w:pPr>
              <w:spacing w:line="276" w:lineRule="auto"/>
              <w:ind w:firstLine="14" w:firstLineChars="7"/>
              <w:jc w:val="center"/>
              <w:rPr>
                <w:rFonts w:hint="default"/>
                <w:color w:val="auto"/>
                <w:szCs w:val="21"/>
                <w:highlight w:val="none"/>
                <w:lang w:val="en-US" w:eastAsia="zh-CN"/>
              </w:rPr>
            </w:pPr>
            <w:r>
              <w:rPr>
                <w:rFonts w:hint="eastAsia"/>
                <w:color w:val="auto"/>
                <w:szCs w:val="21"/>
                <w:highlight w:val="none"/>
                <w:lang w:val="en-US" w:eastAsia="zh-CN"/>
              </w:rPr>
              <w:t>5</w:t>
            </w:r>
          </w:p>
        </w:tc>
        <w:tc>
          <w:tcPr>
            <w:tcW w:w="479" w:type="pct"/>
            <w:tcBorders>
              <w:tl2br w:val="nil"/>
              <w:tr2bl w:val="nil"/>
            </w:tcBorders>
            <w:noWrap w:val="0"/>
            <w:vAlign w:val="center"/>
          </w:tcPr>
          <w:p>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w:t>
            </w:r>
            <w:r>
              <w:rPr>
                <w:rFonts w:hint="eastAsia" w:ascii="宋体" w:hAnsi="宋体" w:cs="宋体"/>
                <w:color w:val="auto"/>
                <w:sz w:val="21"/>
                <w:szCs w:val="21"/>
                <w:highlight w:val="none"/>
                <w:lang w:val="en-US" w:eastAsia="zh-CN"/>
              </w:rPr>
              <w:t>专业</w:t>
            </w:r>
            <w:r>
              <w:rPr>
                <w:rFonts w:hint="eastAsia" w:ascii="宋体" w:hAnsi="宋体" w:eastAsia="宋体" w:cs="宋体"/>
                <w:color w:val="auto"/>
                <w:sz w:val="21"/>
                <w:szCs w:val="21"/>
                <w:highlight w:val="none"/>
                <w:lang w:val="en-US" w:eastAsia="zh-CN"/>
              </w:rPr>
              <w:t>人员</w:t>
            </w:r>
            <w:r>
              <w:rPr>
                <w:rFonts w:hint="eastAsia" w:ascii="宋体" w:hAnsi="宋体" w:cs="宋体"/>
                <w:color w:val="auto"/>
                <w:sz w:val="21"/>
                <w:szCs w:val="21"/>
                <w:highlight w:val="none"/>
                <w:lang w:val="en-US" w:eastAsia="zh-CN"/>
              </w:rPr>
              <w:t>配置</w:t>
            </w:r>
          </w:p>
        </w:tc>
        <w:tc>
          <w:tcPr>
            <w:tcW w:w="3803" w:type="pct"/>
            <w:tcBorders>
              <w:tl2br w:val="nil"/>
              <w:tr2bl w:val="nil"/>
            </w:tcBorders>
            <w:noWrap w:val="0"/>
            <w:vAlign w:val="center"/>
          </w:tcPr>
          <w:p>
            <w:pPr>
              <w:pStyle w:val="3"/>
              <w:numPr>
                <w:ilvl w:val="0"/>
                <w:numId w:val="3"/>
              </w:numPr>
              <w:spacing w:line="240" w:lineRule="auto"/>
              <w:ind w:left="0" w:leftChars="0" w:firstLine="0" w:firstLineChars="0"/>
              <w:rPr>
                <w:rFonts w:hint="default"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投标人</w:t>
            </w:r>
            <w:r>
              <w:rPr>
                <w:rFonts w:hint="eastAsia" w:ascii="宋体" w:hAnsi="宋体" w:cs="宋体"/>
                <w:sz w:val="21"/>
                <w:szCs w:val="21"/>
                <w:highlight w:val="none"/>
                <w:lang w:val="en-US" w:eastAsia="zh-CN"/>
              </w:rPr>
              <w:t>配备持有</w:t>
            </w:r>
            <w:r>
              <w:rPr>
                <w:rFonts w:hint="eastAsia" w:ascii="宋体" w:hAnsi="宋体" w:eastAsia="宋体" w:cs="宋体"/>
                <w:sz w:val="21"/>
                <w:szCs w:val="21"/>
                <w:highlight w:val="none"/>
                <w:lang w:val="en-US" w:eastAsia="zh-CN"/>
              </w:rPr>
              <w:t>政府、行业部门或行业协会颁发的潜水员证，每1人得2分，最高得6分</w:t>
            </w:r>
            <w:r>
              <w:rPr>
                <w:rFonts w:hint="default" w:ascii="宋体" w:hAnsi="宋体" w:eastAsia="宋体" w:cs="宋体"/>
                <w:sz w:val="21"/>
                <w:szCs w:val="21"/>
                <w:highlight w:val="none"/>
                <w:lang w:eastAsia="zh-CN"/>
              </w:rPr>
              <w:t>。</w:t>
            </w:r>
          </w:p>
          <w:p>
            <w:pPr>
              <w:pStyle w:val="3"/>
              <w:numPr>
                <w:ilvl w:val="0"/>
                <w:numId w:val="3"/>
              </w:numPr>
              <w:spacing w:line="24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w:t>
            </w:r>
            <w:r>
              <w:rPr>
                <w:rFonts w:hint="eastAsia" w:ascii="宋体" w:hAnsi="宋体" w:cs="宋体"/>
                <w:sz w:val="21"/>
                <w:szCs w:val="21"/>
                <w:highlight w:val="none"/>
                <w:lang w:val="en-US" w:eastAsia="zh-CN"/>
              </w:rPr>
              <w:t>配备持有</w:t>
            </w:r>
            <w:r>
              <w:rPr>
                <w:rFonts w:hint="eastAsia" w:ascii="宋体" w:hAnsi="宋体" w:eastAsia="宋体" w:cs="宋体"/>
                <w:sz w:val="21"/>
                <w:szCs w:val="21"/>
                <w:highlight w:val="none"/>
                <w:lang w:val="en-US" w:eastAsia="zh-CN"/>
              </w:rPr>
              <w:t>政府、行业部门或行业协会颁发的有限空间作业证书的，每1人得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分，最高得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w:t>
            </w:r>
          </w:p>
          <w:p>
            <w:pPr>
              <w:pStyle w:val="3"/>
              <w:numPr>
                <w:ilvl w:val="0"/>
                <w:numId w:val="0"/>
              </w:numPr>
              <w:spacing w:line="240" w:lineRule="auto"/>
              <w:ind w:left="0" w:leftChars="0" w:firstLine="0" w:firstLineChars="0"/>
              <w:rPr>
                <w:rFonts w:hint="default" w:ascii="宋体" w:hAnsi="宋体" w:eastAsia="宋体" w:cs="宋体"/>
                <w:sz w:val="21"/>
                <w:szCs w:val="21"/>
                <w:highlight w:val="none"/>
                <w:lang w:val="en-US" w:eastAsia="zh-CN"/>
              </w:rPr>
            </w:pPr>
            <w:r>
              <w:rPr>
                <w:rFonts w:hint="eastAsia" w:ascii="宋体" w:hAnsi="宋体" w:eastAsia="宋体" w:cs="宋体"/>
                <w:b/>
                <w:bCs/>
                <w:sz w:val="18"/>
                <w:szCs w:val="18"/>
                <w:highlight w:val="none"/>
                <w:lang w:val="en-US" w:eastAsia="zh-CN"/>
              </w:rPr>
              <w:t>注：</w:t>
            </w:r>
            <w:r>
              <w:rPr>
                <w:rFonts w:hint="default" w:ascii="宋体" w:hAnsi="宋体" w:eastAsia="宋体" w:cs="宋体"/>
                <w:b w:val="0"/>
                <w:bCs w:val="0"/>
                <w:sz w:val="18"/>
                <w:szCs w:val="18"/>
                <w:highlight w:val="none"/>
                <w:lang w:eastAsia="zh-CN"/>
              </w:rPr>
              <w:t>以上1-2项合计最高得1</w:t>
            </w:r>
            <w:r>
              <w:rPr>
                <w:rFonts w:hint="eastAsia" w:ascii="宋体" w:hAnsi="宋体" w:cs="宋体"/>
                <w:b w:val="0"/>
                <w:bCs w:val="0"/>
                <w:sz w:val="18"/>
                <w:szCs w:val="18"/>
                <w:highlight w:val="none"/>
                <w:lang w:val="en-US" w:eastAsia="zh-CN"/>
              </w:rPr>
              <w:t>2</w:t>
            </w:r>
            <w:r>
              <w:rPr>
                <w:rFonts w:hint="default" w:ascii="宋体" w:hAnsi="宋体" w:eastAsia="宋体" w:cs="宋体"/>
                <w:b w:val="0"/>
                <w:bCs w:val="0"/>
                <w:sz w:val="18"/>
                <w:szCs w:val="18"/>
                <w:highlight w:val="none"/>
                <w:lang w:eastAsia="zh-CN"/>
              </w:rPr>
              <w:t>分。</w:t>
            </w:r>
            <w:r>
              <w:rPr>
                <w:rFonts w:hint="eastAsia" w:ascii="宋体" w:hAnsi="宋体" w:eastAsia="宋体" w:cs="宋体"/>
                <w:b w:val="0"/>
                <w:bCs w:val="0"/>
                <w:sz w:val="18"/>
                <w:szCs w:val="18"/>
                <w:highlight w:val="none"/>
                <w:lang w:val="en-US" w:eastAsia="zh-CN"/>
              </w:rPr>
              <w:t>提供人员证书复印件加盖公章，并提供人员在投标单位近一年（202</w:t>
            </w:r>
            <w:r>
              <w:rPr>
                <w:rFonts w:hint="eastAsia" w:ascii="宋体" w:hAnsi="宋体" w:cs="宋体"/>
                <w:b w:val="0"/>
                <w:bCs w:val="0"/>
                <w:sz w:val="18"/>
                <w:szCs w:val="18"/>
                <w:highlight w:val="none"/>
                <w:lang w:val="en-US" w:eastAsia="zh-CN"/>
              </w:rPr>
              <w:t>5</w:t>
            </w:r>
            <w:r>
              <w:rPr>
                <w:rFonts w:hint="eastAsia" w:ascii="宋体" w:hAnsi="宋体" w:eastAsia="宋体" w:cs="宋体"/>
                <w:b w:val="0"/>
                <w:bCs w:val="0"/>
                <w:sz w:val="18"/>
                <w:szCs w:val="18"/>
                <w:highlight w:val="none"/>
                <w:lang w:val="en-US" w:eastAsia="zh-CN"/>
              </w:rPr>
              <w:t>年4月至今）购买的社保证明材料。</w:t>
            </w:r>
          </w:p>
        </w:tc>
        <w:tc>
          <w:tcPr>
            <w:tcW w:w="299" w:type="pct"/>
            <w:tcBorders>
              <w:tl2br w:val="nil"/>
              <w:tr2bl w:val="nil"/>
            </w:tcBorders>
            <w:noWrap w:val="0"/>
            <w:vAlign w:val="center"/>
          </w:tcPr>
          <w:p>
            <w:pPr>
              <w:spacing w:line="276" w:lineRule="auto"/>
              <w:jc w:val="center"/>
              <w:rPr>
                <w:rFonts w:hint="default" w:cs="宋体"/>
                <w:color w:val="auto"/>
                <w:szCs w:val="21"/>
                <w:highlight w:val="none"/>
                <w:lang w:val="en-US" w:eastAsia="zh-CN"/>
              </w:rPr>
            </w:pPr>
            <w:r>
              <w:rPr>
                <w:rFonts w:hint="eastAsia" w:cs="宋体"/>
                <w:color w:val="auto"/>
                <w:szCs w:val="21"/>
                <w:highlight w:val="none"/>
                <w:lang w:val="en-US" w:eastAsia="zh-CN"/>
              </w:rPr>
              <w:t>12</w:t>
            </w:r>
          </w:p>
        </w:tc>
        <w:tc>
          <w:tcPr>
            <w:tcW w:w="212" w:type="pct"/>
            <w:tcBorders>
              <w:tl2br w:val="nil"/>
              <w:tr2bl w:val="nil"/>
            </w:tcBorders>
            <w:noWrap w:val="0"/>
            <w:vAlign w:val="center"/>
          </w:tcPr>
          <w:p>
            <w:pPr>
              <w:spacing w:line="276" w:lineRule="auto"/>
              <w:jc w:val="center"/>
              <w:rPr>
                <w:rFonts w:hint="eastAsia" w:cs="宋体"/>
                <w:color w:val="auto"/>
                <w:szCs w:val="21"/>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746" w:hRule="atLeast"/>
        </w:trPr>
        <w:tc>
          <w:tcPr>
            <w:tcW w:w="205" w:type="pct"/>
            <w:tcBorders>
              <w:tl2br w:val="nil"/>
              <w:tr2bl w:val="nil"/>
            </w:tcBorders>
            <w:noWrap w:val="0"/>
            <w:vAlign w:val="center"/>
          </w:tcPr>
          <w:p>
            <w:pPr>
              <w:spacing w:line="276" w:lineRule="auto"/>
              <w:ind w:firstLine="14" w:firstLineChars="7"/>
              <w:jc w:val="center"/>
              <w:rPr>
                <w:rFonts w:hint="eastAsia"/>
                <w:color w:val="auto"/>
                <w:szCs w:val="21"/>
                <w:highlight w:val="none"/>
                <w:lang w:val="en-US" w:eastAsia="zh-CN"/>
              </w:rPr>
            </w:pPr>
            <w:r>
              <w:rPr>
                <w:rFonts w:hint="eastAsia"/>
                <w:color w:val="auto"/>
                <w:szCs w:val="21"/>
                <w:highlight w:val="none"/>
                <w:lang w:val="en-US" w:eastAsia="zh-CN"/>
              </w:rPr>
              <w:t>5</w:t>
            </w:r>
          </w:p>
        </w:tc>
        <w:tc>
          <w:tcPr>
            <w:tcW w:w="479" w:type="pct"/>
            <w:tcBorders>
              <w:tl2br w:val="nil"/>
              <w:tr2bl w:val="nil"/>
            </w:tcBorders>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本地化响应保障能力</w:t>
            </w:r>
          </w:p>
        </w:tc>
        <w:tc>
          <w:tcPr>
            <w:tcW w:w="3803" w:type="pct"/>
            <w:tcBorders>
              <w:right w:val="single" w:color="auto" w:sz="4" w:space="0"/>
              <w:tl2br w:val="nil"/>
              <w:tr2bl w:val="nil"/>
            </w:tcBorders>
            <w:noWrap w:val="0"/>
            <w:vAlign w:val="center"/>
          </w:tcPr>
          <w:p>
            <w:pPr>
              <w:pStyle w:val="2"/>
              <w:rPr>
                <w:rFonts w:hint="default"/>
                <w:lang w:val="en-US" w:eastAsia="zh-CN"/>
              </w:rPr>
            </w:pPr>
            <w:r>
              <w:rPr>
                <w:rFonts w:hint="eastAsia" w:ascii="宋体" w:hAnsi="宋体" w:eastAsia="宋体" w:cs="宋体"/>
                <w:kern w:val="0"/>
                <w:sz w:val="21"/>
                <w:szCs w:val="21"/>
                <w:highlight w:val="none"/>
                <w:lang w:val="en-US" w:eastAsia="zh-CN" w:bidi="ar-SA"/>
              </w:rPr>
              <w:t>1.投标人接到应急指令后，可在30分钟内人员、设备可到场处置，得8分；</w:t>
            </w:r>
            <w:r>
              <w:rPr>
                <w:rFonts w:hint="eastAsia"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投标人接到应急指令后，可2小时内可调配人员、设备到场处置，得4分；</w:t>
            </w:r>
            <w:r>
              <w:rPr>
                <w:rFonts w:hint="eastAsia"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投标人接到应急指令后，响应时效超2小时的，不得分。</w:t>
            </w:r>
          </w:p>
        </w:tc>
        <w:tc>
          <w:tcPr>
            <w:tcW w:w="299" w:type="pct"/>
            <w:tcBorders>
              <w:left w:val="single" w:color="auto" w:sz="4" w:space="0"/>
              <w:tl2br w:val="nil"/>
              <w:tr2bl w:val="nil"/>
            </w:tcBorders>
            <w:noWrap w:val="0"/>
            <w:vAlign w:val="center"/>
          </w:tcPr>
          <w:p>
            <w:pPr>
              <w:spacing w:line="276" w:lineRule="auto"/>
              <w:jc w:val="center"/>
              <w:rPr>
                <w:rFonts w:hint="default" w:ascii="宋体" w:hAnsi="宋体" w:eastAsia="宋体" w:cs="宋体"/>
                <w:sz w:val="21"/>
                <w:szCs w:val="21"/>
                <w:lang w:val="en-US" w:eastAsia="zh-CN"/>
              </w:rPr>
            </w:pPr>
            <w:r>
              <w:rPr>
                <w:rFonts w:hint="eastAsia" w:cs="宋体"/>
                <w:color w:val="auto"/>
                <w:szCs w:val="21"/>
                <w:highlight w:val="none"/>
                <w:lang w:val="en-US" w:eastAsia="zh-CN"/>
              </w:rPr>
              <w:t>8</w:t>
            </w:r>
          </w:p>
        </w:tc>
        <w:tc>
          <w:tcPr>
            <w:tcW w:w="212" w:type="pct"/>
            <w:tcBorders>
              <w:tl2br w:val="nil"/>
              <w:tr2bl w:val="nil"/>
            </w:tcBorders>
            <w:noWrap w:val="0"/>
            <w:vAlign w:val="center"/>
          </w:tcPr>
          <w:p>
            <w:pPr>
              <w:spacing w:line="240" w:lineRule="auto"/>
              <w:rPr>
                <w:rFonts w:hint="eastAsia" w:ascii="宋体" w:hAnsi="宋体" w:eastAsia="宋体" w:cs="宋体"/>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950" w:hRule="atLeast"/>
        </w:trPr>
        <w:tc>
          <w:tcPr>
            <w:tcW w:w="205" w:type="pct"/>
            <w:tcBorders>
              <w:right w:val="single" w:color="auto" w:sz="4" w:space="0"/>
              <w:tl2br w:val="nil"/>
              <w:tr2bl w:val="nil"/>
            </w:tcBorders>
            <w:noWrap w:val="0"/>
            <w:vAlign w:val="center"/>
          </w:tcPr>
          <w:p>
            <w:pPr>
              <w:spacing w:line="276" w:lineRule="auto"/>
              <w:ind w:firstLine="14" w:firstLineChars="7"/>
              <w:jc w:val="center"/>
              <w:rPr>
                <w:rFonts w:hint="default"/>
                <w:color w:val="auto"/>
                <w:szCs w:val="21"/>
                <w:highlight w:val="none"/>
                <w:lang w:val="en-US" w:eastAsia="zh-CN"/>
              </w:rPr>
            </w:pPr>
            <w:r>
              <w:rPr>
                <w:rFonts w:hint="eastAsia"/>
                <w:color w:val="auto"/>
                <w:szCs w:val="21"/>
                <w:highlight w:val="none"/>
                <w:lang w:val="en-US" w:eastAsia="zh-CN"/>
              </w:rPr>
              <w:t>6</w:t>
            </w:r>
          </w:p>
        </w:tc>
        <w:tc>
          <w:tcPr>
            <w:tcW w:w="479" w:type="pct"/>
            <w:tcBorders>
              <w:left w:val="single" w:color="auto" w:sz="4" w:space="0"/>
              <w:tl2br w:val="nil"/>
              <w:tr2bl w:val="nil"/>
            </w:tcBorders>
            <w:noWrap w:val="0"/>
            <w:vAlign w:val="center"/>
          </w:tcPr>
          <w:p>
            <w:pPr>
              <w:pStyle w:val="3"/>
              <w:numPr>
                <w:ilvl w:val="0"/>
                <w:numId w:val="0"/>
              </w:numPr>
              <w:spacing w:line="240" w:lineRule="auto"/>
              <w:jc w:val="both"/>
              <w:rPr>
                <w:rFonts w:hint="eastAsia" w:ascii="宋体" w:hAnsi="宋体" w:eastAsia="宋体" w:cs="宋体"/>
                <w:sz w:val="21"/>
                <w:szCs w:val="21"/>
                <w:lang w:val="zh-CN" w:eastAsia="zh-CN"/>
              </w:rPr>
            </w:pPr>
            <w:r>
              <w:rPr>
                <w:rFonts w:hint="eastAsia" w:ascii="宋体" w:hAnsi="宋体" w:cs="宋体"/>
                <w:sz w:val="21"/>
                <w:szCs w:val="21"/>
                <w:highlight w:val="none"/>
                <w:lang w:val="zh-CN" w:eastAsia="zh-CN"/>
              </w:rPr>
              <w:t>投标</w:t>
            </w:r>
            <w:r>
              <w:rPr>
                <w:rFonts w:hint="eastAsia" w:ascii="宋体" w:hAnsi="宋体" w:eastAsia="宋体" w:cs="宋体"/>
                <w:sz w:val="21"/>
                <w:szCs w:val="21"/>
                <w:highlight w:val="none"/>
                <w:lang w:val="zh-CN" w:eastAsia="zh-CN"/>
              </w:rPr>
              <w:t>报价</w:t>
            </w:r>
          </w:p>
        </w:tc>
        <w:tc>
          <w:tcPr>
            <w:tcW w:w="3803" w:type="pct"/>
            <w:tcBorders>
              <w:right w:val="single" w:color="auto" w:sz="4" w:space="0"/>
              <w:tl2br w:val="nil"/>
              <w:tr2bl w:val="nil"/>
            </w:tcBorders>
            <w:noWrap w:val="0"/>
            <w:vAlign w:val="center"/>
          </w:tcPr>
          <w:p>
            <w:pPr>
              <w:pStyle w:val="2"/>
              <w:rPr>
                <w:rFonts w:hint="default"/>
                <w:color w:val="auto"/>
                <w:sz w:val="21"/>
                <w:szCs w:val="21"/>
                <w:highlight w:val="none"/>
                <w:lang w:val="en-US" w:eastAsia="zh-CN"/>
              </w:rPr>
            </w:pPr>
            <w:r>
              <w:rPr>
                <w:rFonts w:hint="eastAsia"/>
                <w:color w:val="auto"/>
                <w:sz w:val="21"/>
                <w:szCs w:val="21"/>
                <w:highlight w:val="none"/>
                <w:lang w:val="en-US" w:eastAsia="zh-CN"/>
              </w:rPr>
              <w:t>以</w:t>
            </w:r>
            <w:r>
              <w:rPr>
                <w:rFonts w:hint="eastAsia"/>
                <w:color w:val="auto"/>
                <w:sz w:val="21"/>
                <w:szCs w:val="21"/>
                <w:highlight w:val="none"/>
                <w:lang w:val="en-US"/>
              </w:rPr>
              <w:t>最</w:t>
            </w:r>
            <w:r>
              <w:rPr>
                <w:rFonts w:hint="eastAsia"/>
                <w:color w:val="auto"/>
                <w:sz w:val="21"/>
                <w:szCs w:val="21"/>
                <w:highlight w:val="none"/>
                <w:lang w:val="en-US" w:eastAsia="zh-CN"/>
              </w:rPr>
              <w:t>大</w:t>
            </w:r>
            <w:r>
              <w:rPr>
                <w:rFonts w:hint="eastAsia"/>
                <w:color w:val="auto"/>
                <w:sz w:val="21"/>
                <w:szCs w:val="21"/>
                <w:highlight w:val="none"/>
                <w:lang w:val="en-US"/>
              </w:rPr>
              <w:t>的</w:t>
            </w:r>
            <w:r>
              <w:rPr>
                <w:rFonts w:hint="eastAsia"/>
                <w:color w:val="auto"/>
                <w:sz w:val="21"/>
                <w:szCs w:val="21"/>
                <w:highlight w:val="none"/>
                <w:lang w:val="en-US" w:eastAsia="zh-CN"/>
              </w:rPr>
              <w:t>投标报价下浮率</w:t>
            </w:r>
            <w:r>
              <w:rPr>
                <w:rFonts w:hint="eastAsia"/>
                <w:color w:val="auto"/>
                <w:sz w:val="21"/>
                <w:szCs w:val="21"/>
                <w:highlight w:val="none"/>
                <w:lang w:val="en-US"/>
              </w:rPr>
              <w:t>为评标基准</w:t>
            </w:r>
            <w:r>
              <w:rPr>
                <w:rFonts w:hint="eastAsia"/>
                <w:color w:val="auto"/>
                <w:sz w:val="21"/>
                <w:szCs w:val="21"/>
                <w:highlight w:val="none"/>
                <w:lang w:val="en-US" w:eastAsia="zh-CN"/>
              </w:rPr>
              <w:t>下浮率</w:t>
            </w:r>
            <w:r>
              <w:rPr>
                <w:rFonts w:hint="eastAsia"/>
                <w:color w:val="auto"/>
                <w:sz w:val="21"/>
                <w:szCs w:val="21"/>
                <w:highlight w:val="none"/>
                <w:lang w:val="en-US"/>
              </w:rPr>
              <w:t>，其价格分为满分</w:t>
            </w:r>
            <w:r>
              <w:rPr>
                <w:rFonts w:hint="eastAsia"/>
                <w:color w:val="auto"/>
                <w:sz w:val="21"/>
                <w:szCs w:val="21"/>
                <w:highlight w:val="none"/>
                <w:lang w:val="en-US" w:eastAsia="zh-CN"/>
              </w:rPr>
              <w:t>40</w:t>
            </w:r>
            <w:r>
              <w:rPr>
                <w:rFonts w:hint="eastAsia"/>
                <w:color w:val="auto"/>
                <w:sz w:val="21"/>
                <w:szCs w:val="21"/>
                <w:highlight w:val="none"/>
                <w:lang w:val="en-US"/>
              </w:rPr>
              <w:t>分，其他</w:t>
            </w:r>
            <w:r>
              <w:rPr>
                <w:rFonts w:hint="eastAsia"/>
                <w:color w:val="auto"/>
                <w:sz w:val="21"/>
                <w:szCs w:val="21"/>
                <w:highlight w:val="none"/>
                <w:lang w:val="en-US" w:eastAsia="zh-CN"/>
              </w:rPr>
              <w:t>投标人</w:t>
            </w:r>
            <w:r>
              <w:rPr>
                <w:rFonts w:hint="eastAsia"/>
                <w:color w:val="auto"/>
                <w:sz w:val="21"/>
                <w:szCs w:val="21"/>
                <w:highlight w:val="none"/>
                <w:lang w:val="en-US"/>
              </w:rPr>
              <w:t>的价格分统一按照下列公式计算：投标报价得分=[</w:t>
            </w:r>
            <w:r>
              <w:rPr>
                <w:rFonts w:hint="eastAsia"/>
                <w:color w:val="auto"/>
                <w:sz w:val="21"/>
                <w:szCs w:val="21"/>
                <w:highlight w:val="none"/>
                <w:lang w:val="en-US" w:eastAsia="zh-CN"/>
              </w:rPr>
              <w:t>1-</w:t>
            </w:r>
            <w:r>
              <w:rPr>
                <w:rFonts w:hint="eastAsia"/>
                <w:color w:val="auto"/>
                <w:sz w:val="21"/>
                <w:szCs w:val="21"/>
                <w:highlight w:val="none"/>
                <w:lang w:val="en-US"/>
              </w:rPr>
              <w:t>（评标基准</w:t>
            </w:r>
            <w:r>
              <w:rPr>
                <w:rFonts w:hint="eastAsia"/>
                <w:color w:val="auto"/>
                <w:sz w:val="21"/>
                <w:szCs w:val="21"/>
                <w:highlight w:val="none"/>
                <w:lang w:val="en-US" w:eastAsia="zh-CN"/>
              </w:rPr>
              <w:t>下浮率</w:t>
            </w:r>
            <w:r>
              <w:rPr>
                <w:rFonts w:hint="eastAsia"/>
                <w:color w:val="auto"/>
                <w:sz w:val="21"/>
                <w:szCs w:val="21"/>
                <w:highlight w:val="none"/>
                <w:lang w:val="en-US"/>
              </w:rPr>
              <w:t>-</w:t>
            </w:r>
            <w:r>
              <w:rPr>
                <w:rFonts w:hint="eastAsia"/>
                <w:color w:val="auto"/>
                <w:sz w:val="21"/>
                <w:szCs w:val="21"/>
                <w:highlight w:val="none"/>
                <w:lang w:val="en-US" w:eastAsia="zh-CN"/>
              </w:rPr>
              <w:t>投标报价下浮率</w:t>
            </w:r>
            <w:r>
              <w:rPr>
                <w:rFonts w:hint="eastAsia"/>
                <w:color w:val="auto"/>
                <w:sz w:val="21"/>
                <w:szCs w:val="21"/>
                <w:highlight w:val="none"/>
                <w:lang w:val="en-US"/>
              </w:rPr>
              <w:t>）]×</w:t>
            </w:r>
            <w:r>
              <w:rPr>
                <w:rFonts w:hint="eastAsia"/>
                <w:color w:val="auto"/>
                <w:sz w:val="21"/>
                <w:szCs w:val="21"/>
                <w:highlight w:val="none"/>
                <w:lang w:val="en-US" w:eastAsia="zh-CN"/>
              </w:rPr>
              <w:t>4</w:t>
            </w:r>
            <w:r>
              <w:rPr>
                <w:rFonts w:hint="eastAsia"/>
                <w:color w:val="auto"/>
                <w:sz w:val="21"/>
                <w:szCs w:val="21"/>
                <w:highlight w:val="none"/>
                <w:lang w:val="en-US"/>
              </w:rPr>
              <w:t>0</w:t>
            </w:r>
          </w:p>
        </w:tc>
        <w:tc>
          <w:tcPr>
            <w:tcW w:w="299" w:type="pct"/>
            <w:tcBorders>
              <w:left w:val="single" w:color="auto" w:sz="4" w:space="0"/>
              <w:tl2br w:val="nil"/>
              <w:tr2bl w:val="nil"/>
            </w:tcBorders>
            <w:noWrap w:val="0"/>
            <w:vAlign w:val="center"/>
          </w:tcPr>
          <w:p>
            <w:pPr>
              <w:spacing w:line="276" w:lineRule="auto"/>
              <w:jc w:val="center"/>
              <w:rPr>
                <w:rFonts w:hint="default" w:ascii="宋体" w:hAnsi="宋体" w:eastAsia="宋体" w:cs="宋体"/>
                <w:b/>
                <w:bCs/>
                <w:color w:val="auto"/>
                <w:sz w:val="22"/>
                <w:szCs w:val="21"/>
                <w:highlight w:val="none"/>
                <w:lang w:val="en-US" w:eastAsia="zh-CN" w:bidi="zh-CN"/>
              </w:rPr>
            </w:pPr>
            <w:r>
              <w:rPr>
                <w:rFonts w:hint="eastAsia" w:cs="宋体"/>
                <w:color w:val="auto"/>
                <w:szCs w:val="21"/>
                <w:highlight w:val="none"/>
                <w:lang w:val="en-US" w:eastAsia="zh-CN"/>
              </w:rPr>
              <w:t>40</w:t>
            </w:r>
          </w:p>
        </w:tc>
        <w:tc>
          <w:tcPr>
            <w:tcW w:w="212" w:type="pct"/>
            <w:tcBorders>
              <w:tl2br w:val="nil"/>
              <w:tr2bl w:val="nil"/>
            </w:tcBorders>
            <w:noWrap w:val="0"/>
            <w:vAlign w:val="center"/>
          </w:tcPr>
          <w:p>
            <w:pPr>
              <w:spacing w:line="276" w:lineRule="auto"/>
              <w:ind w:firstLine="480" w:firstLineChars="0"/>
              <w:jc w:val="center"/>
              <w:rPr>
                <w:rFonts w:hint="default" w:cs="宋体"/>
                <w:b/>
                <w:bCs/>
                <w:color w:val="auto"/>
                <w:szCs w:val="21"/>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8" w:space="0"/>
            <w:insideV w:val="single" w:color="auto" w:sz="2" w:space="0"/>
          </w:tblBorders>
        </w:tblPrEx>
        <w:trPr>
          <w:trHeight w:val="532" w:hRule="atLeast"/>
        </w:trPr>
        <w:tc>
          <w:tcPr>
            <w:tcW w:w="684" w:type="pct"/>
            <w:gridSpan w:val="2"/>
            <w:tcBorders>
              <w:tl2br w:val="nil"/>
              <w:tr2bl w:val="nil"/>
            </w:tcBorders>
            <w:noWrap w:val="0"/>
            <w:vAlign w:val="center"/>
          </w:tcPr>
          <w:p>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合计</w:t>
            </w:r>
          </w:p>
        </w:tc>
        <w:tc>
          <w:tcPr>
            <w:tcW w:w="3803" w:type="pct"/>
            <w:tcBorders>
              <w:right w:val="single" w:color="auto" w:sz="4" w:space="0"/>
              <w:tl2br w:val="nil"/>
              <w:tr2bl w:val="nil"/>
            </w:tcBorders>
            <w:noWrap w:val="0"/>
            <w:vAlign w:val="center"/>
          </w:tcPr>
          <w:p>
            <w:pPr>
              <w:spacing w:line="276" w:lineRule="auto"/>
              <w:ind w:firstLine="480" w:firstLineChars="0"/>
              <w:jc w:val="center"/>
              <w:rPr>
                <w:rFonts w:hint="eastAsia" w:cs="宋体"/>
                <w:b/>
                <w:bCs/>
                <w:color w:val="auto"/>
                <w:szCs w:val="21"/>
                <w:highlight w:val="none"/>
                <w:lang w:val="en-US" w:eastAsia="zh-CN"/>
              </w:rPr>
            </w:pPr>
          </w:p>
        </w:tc>
        <w:tc>
          <w:tcPr>
            <w:tcW w:w="299" w:type="pct"/>
            <w:tcBorders>
              <w:left w:val="single" w:color="auto" w:sz="4" w:space="0"/>
              <w:tl2br w:val="nil"/>
              <w:tr2bl w:val="nil"/>
            </w:tcBorders>
            <w:noWrap w:val="0"/>
            <w:vAlign w:val="center"/>
          </w:tcPr>
          <w:p>
            <w:pPr>
              <w:spacing w:line="276" w:lineRule="auto"/>
              <w:ind w:firstLine="210" w:firstLineChars="100"/>
              <w:jc w:val="both"/>
              <w:rPr>
                <w:rFonts w:hint="default" w:cs="宋体"/>
                <w:b/>
                <w:bCs/>
                <w:color w:val="auto"/>
                <w:szCs w:val="21"/>
                <w:highlight w:val="none"/>
                <w:lang w:val="en-US" w:eastAsia="zh-CN"/>
              </w:rPr>
            </w:pPr>
            <w:r>
              <w:rPr>
                <w:rFonts w:hint="eastAsia" w:cs="宋体"/>
                <w:b/>
                <w:bCs/>
                <w:color w:val="auto"/>
                <w:szCs w:val="21"/>
                <w:highlight w:val="none"/>
                <w:lang w:val="en-US" w:eastAsia="zh-CN"/>
              </w:rPr>
              <w:t>100</w:t>
            </w:r>
          </w:p>
        </w:tc>
        <w:tc>
          <w:tcPr>
            <w:tcW w:w="212" w:type="pct"/>
            <w:tcBorders>
              <w:tl2br w:val="nil"/>
              <w:tr2bl w:val="nil"/>
            </w:tcBorders>
            <w:noWrap w:val="0"/>
            <w:vAlign w:val="center"/>
          </w:tcPr>
          <w:p>
            <w:pPr>
              <w:spacing w:line="276" w:lineRule="auto"/>
              <w:ind w:firstLine="480" w:firstLineChars="0"/>
              <w:jc w:val="center"/>
              <w:rPr>
                <w:rFonts w:hint="eastAsia" w:cs="宋体"/>
                <w:b/>
                <w:bCs/>
                <w:color w:val="auto"/>
                <w:szCs w:val="21"/>
                <w:highlight w:val="none"/>
                <w:lang w:val="en-US" w:eastAsia="zh-CN"/>
              </w:rPr>
            </w:pPr>
          </w:p>
        </w:tc>
      </w:tr>
    </w:tbl>
    <w:p>
      <w:pPr>
        <w:spacing w:line="600" w:lineRule="exact"/>
        <w:jc w:val="center"/>
        <w:rPr>
          <w:rFonts w:eastAsia="方正小标宋简体"/>
          <w:bCs/>
          <w:kern w:val="0"/>
          <w:sz w:val="44"/>
          <w:szCs w:val="44"/>
        </w:rPr>
      </w:pPr>
      <w:r>
        <w:rPr>
          <w:rFonts w:hint="eastAsia" w:eastAsia="方正小标宋简体"/>
          <w:bCs/>
          <w:kern w:val="0"/>
          <w:sz w:val="44"/>
          <w:szCs w:val="44"/>
          <w:lang w:val="en-US" w:eastAsia="zh-CN"/>
        </w:rPr>
        <w:t>2026年度</w:t>
      </w:r>
      <w:r>
        <w:rPr>
          <w:rFonts w:hint="eastAsia" w:eastAsia="方正小标宋简体"/>
          <w:bCs/>
          <w:kern w:val="0"/>
          <w:sz w:val="44"/>
          <w:szCs w:val="44"/>
          <w:lang w:val="zh-CN"/>
        </w:rPr>
        <w:t>蓬江区污水截污管网、污水提升泵站清疏维护服务采购项目</w:t>
      </w:r>
      <w:r>
        <w:rPr>
          <w:rFonts w:eastAsia="方正小标宋简体"/>
          <w:bCs/>
          <w:kern w:val="0"/>
          <w:sz w:val="44"/>
          <w:szCs w:val="44"/>
        </w:rPr>
        <w:t>评</w:t>
      </w:r>
      <w:r>
        <w:rPr>
          <w:rFonts w:hint="eastAsia" w:eastAsia="方正小标宋简体"/>
          <w:bCs/>
          <w:kern w:val="0"/>
          <w:sz w:val="44"/>
          <w:szCs w:val="44"/>
        </w:rPr>
        <w:t>分</w:t>
      </w:r>
      <w:r>
        <w:rPr>
          <w:rFonts w:eastAsia="方正小标宋简体"/>
          <w:bCs/>
          <w:kern w:val="0"/>
          <w:sz w:val="44"/>
          <w:szCs w:val="44"/>
        </w:rPr>
        <w:t>表</w:t>
      </w:r>
    </w:p>
    <w:p>
      <w:pPr>
        <w:pStyle w:val="2"/>
      </w:pPr>
    </w:p>
    <w:sectPr>
      <w:pgSz w:w="16838" w:h="11906" w:orient="landscape"/>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asciiTheme="minorEastAsia" w:hAnsiTheme="minorEastAsia" w:eastAsiaTheme="minorEastAsia"/>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5506D"/>
    <w:multiLevelType w:val="singleLevel"/>
    <w:tmpl w:val="93A5506D"/>
    <w:lvl w:ilvl="0" w:tentative="0">
      <w:start w:val="3"/>
      <w:numFmt w:val="chineseCounting"/>
      <w:suff w:val="nothing"/>
      <w:lvlText w:val="%1、"/>
      <w:lvlJc w:val="left"/>
      <w:rPr>
        <w:rFonts w:hint="eastAsia"/>
      </w:rPr>
    </w:lvl>
  </w:abstractNum>
  <w:abstractNum w:abstractNumId="1">
    <w:nsid w:val="1A6AD474"/>
    <w:multiLevelType w:val="singleLevel"/>
    <w:tmpl w:val="1A6AD474"/>
    <w:lvl w:ilvl="0" w:tentative="0">
      <w:start w:val="1"/>
      <w:numFmt w:val="decimal"/>
      <w:lvlText w:val="%1."/>
      <w:lvlJc w:val="left"/>
      <w:pPr>
        <w:tabs>
          <w:tab w:val="left" w:pos="312"/>
        </w:tabs>
      </w:pPr>
    </w:lvl>
  </w:abstractNum>
  <w:abstractNum w:abstractNumId="2">
    <w:nsid w:val="1ED6ACC8"/>
    <w:multiLevelType w:val="singleLevel"/>
    <w:tmpl w:val="1ED6ACC8"/>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MDU3Y2VhZjlhNjJkMDE0MGE2NGJiNDczNTA5MWMifQ=="/>
    <w:docVar w:name="KGWebUrl" w:val="http://19.121.241.45/seeyon/officeservlet"/>
  </w:docVars>
  <w:rsids>
    <w:rsidRoot w:val="5FDA3E7F"/>
    <w:rsid w:val="000149F6"/>
    <w:rsid w:val="00072B4B"/>
    <w:rsid w:val="0009653E"/>
    <w:rsid w:val="000F6568"/>
    <w:rsid w:val="001203DD"/>
    <w:rsid w:val="00130987"/>
    <w:rsid w:val="0015444C"/>
    <w:rsid w:val="0016305F"/>
    <w:rsid w:val="00171D34"/>
    <w:rsid w:val="001A4FDD"/>
    <w:rsid w:val="001D0A6F"/>
    <w:rsid w:val="001D1D4C"/>
    <w:rsid w:val="001E2477"/>
    <w:rsid w:val="002021F9"/>
    <w:rsid w:val="002440D4"/>
    <w:rsid w:val="00244CDC"/>
    <w:rsid w:val="00256672"/>
    <w:rsid w:val="00271C46"/>
    <w:rsid w:val="0027528A"/>
    <w:rsid w:val="002D5197"/>
    <w:rsid w:val="002F7CD5"/>
    <w:rsid w:val="0031139D"/>
    <w:rsid w:val="003128D6"/>
    <w:rsid w:val="0031665C"/>
    <w:rsid w:val="003305A6"/>
    <w:rsid w:val="00340936"/>
    <w:rsid w:val="00367E9D"/>
    <w:rsid w:val="00375618"/>
    <w:rsid w:val="00410EBE"/>
    <w:rsid w:val="004362A3"/>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A4E00"/>
    <w:rsid w:val="006D6B97"/>
    <w:rsid w:val="006E7315"/>
    <w:rsid w:val="006F6D61"/>
    <w:rsid w:val="0074383E"/>
    <w:rsid w:val="00755341"/>
    <w:rsid w:val="007B05B0"/>
    <w:rsid w:val="007D6EE2"/>
    <w:rsid w:val="007E18D4"/>
    <w:rsid w:val="007F5017"/>
    <w:rsid w:val="008550E0"/>
    <w:rsid w:val="00882A81"/>
    <w:rsid w:val="008B5178"/>
    <w:rsid w:val="008E3E6D"/>
    <w:rsid w:val="008F6626"/>
    <w:rsid w:val="0090735E"/>
    <w:rsid w:val="009658AD"/>
    <w:rsid w:val="00970F05"/>
    <w:rsid w:val="00984883"/>
    <w:rsid w:val="009D2951"/>
    <w:rsid w:val="00A26C31"/>
    <w:rsid w:val="00A359D3"/>
    <w:rsid w:val="00A42A1E"/>
    <w:rsid w:val="00A918FB"/>
    <w:rsid w:val="00AA1788"/>
    <w:rsid w:val="00B17CC6"/>
    <w:rsid w:val="00B4119B"/>
    <w:rsid w:val="00B4439D"/>
    <w:rsid w:val="00B52BF1"/>
    <w:rsid w:val="00B5675C"/>
    <w:rsid w:val="00B614E0"/>
    <w:rsid w:val="00B6735B"/>
    <w:rsid w:val="00B86BA6"/>
    <w:rsid w:val="00C20E22"/>
    <w:rsid w:val="00C25867"/>
    <w:rsid w:val="00C63139"/>
    <w:rsid w:val="00C809AA"/>
    <w:rsid w:val="00CC1947"/>
    <w:rsid w:val="00CC6EBF"/>
    <w:rsid w:val="00CE3524"/>
    <w:rsid w:val="00CF0E3A"/>
    <w:rsid w:val="00D16DD7"/>
    <w:rsid w:val="00D42ABC"/>
    <w:rsid w:val="00D94F86"/>
    <w:rsid w:val="00DA567B"/>
    <w:rsid w:val="00DA7D8F"/>
    <w:rsid w:val="00DB56C0"/>
    <w:rsid w:val="00DD2B4D"/>
    <w:rsid w:val="00DD5414"/>
    <w:rsid w:val="00DF4637"/>
    <w:rsid w:val="00E52328"/>
    <w:rsid w:val="00E600FE"/>
    <w:rsid w:val="00EA1092"/>
    <w:rsid w:val="00EA1FC0"/>
    <w:rsid w:val="00EB2796"/>
    <w:rsid w:val="00EF0ED9"/>
    <w:rsid w:val="00F04171"/>
    <w:rsid w:val="00F100E0"/>
    <w:rsid w:val="00F72AD7"/>
    <w:rsid w:val="01787946"/>
    <w:rsid w:val="01A9770F"/>
    <w:rsid w:val="053E25DD"/>
    <w:rsid w:val="07F31225"/>
    <w:rsid w:val="084D1FF9"/>
    <w:rsid w:val="098470A4"/>
    <w:rsid w:val="099077F7"/>
    <w:rsid w:val="099F7B11"/>
    <w:rsid w:val="0A8F1643"/>
    <w:rsid w:val="0B6C7DF0"/>
    <w:rsid w:val="0E823830"/>
    <w:rsid w:val="0F7C39B0"/>
    <w:rsid w:val="10E549A1"/>
    <w:rsid w:val="12145A02"/>
    <w:rsid w:val="14DC4224"/>
    <w:rsid w:val="15046CB5"/>
    <w:rsid w:val="151B6B0E"/>
    <w:rsid w:val="19822ED9"/>
    <w:rsid w:val="1ABD6851"/>
    <w:rsid w:val="1ADA34A0"/>
    <w:rsid w:val="1DF87F7A"/>
    <w:rsid w:val="1F4C5CAB"/>
    <w:rsid w:val="231C237C"/>
    <w:rsid w:val="252561EE"/>
    <w:rsid w:val="255B30EF"/>
    <w:rsid w:val="269E06DB"/>
    <w:rsid w:val="270237C3"/>
    <w:rsid w:val="28085FF0"/>
    <w:rsid w:val="281D3002"/>
    <w:rsid w:val="292F5A40"/>
    <w:rsid w:val="2B8A3E01"/>
    <w:rsid w:val="2C1E6457"/>
    <w:rsid w:val="2F1422BD"/>
    <w:rsid w:val="2FAC7A81"/>
    <w:rsid w:val="30D73164"/>
    <w:rsid w:val="30DB4E58"/>
    <w:rsid w:val="32D56BB5"/>
    <w:rsid w:val="34692B82"/>
    <w:rsid w:val="36EB162B"/>
    <w:rsid w:val="37896B48"/>
    <w:rsid w:val="38647A3B"/>
    <w:rsid w:val="3884708A"/>
    <w:rsid w:val="3CA8487C"/>
    <w:rsid w:val="3CFB6F84"/>
    <w:rsid w:val="3E083824"/>
    <w:rsid w:val="425139E4"/>
    <w:rsid w:val="44A91D1B"/>
    <w:rsid w:val="4A1C5821"/>
    <w:rsid w:val="4C2061DD"/>
    <w:rsid w:val="4DF92428"/>
    <w:rsid w:val="51A157E0"/>
    <w:rsid w:val="5211523C"/>
    <w:rsid w:val="54077C82"/>
    <w:rsid w:val="58D304A6"/>
    <w:rsid w:val="590B454D"/>
    <w:rsid w:val="59BA4C4C"/>
    <w:rsid w:val="5A115CFE"/>
    <w:rsid w:val="5A7B1263"/>
    <w:rsid w:val="5C9D4E93"/>
    <w:rsid w:val="5CCC3EA4"/>
    <w:rsid w:val="5FDA3E7F"/>
    <w:rsid w:val="60234F6B"/>
    <w:rsid w:val="67E61DE9"/>
    <w:rsid w:val="69C515C4"/>
    <w:rsid w:val="6A2E7728"/>
    <w:rsid w:val="6CE83912"/>
    <w:rsid w:val="6F8A1A3C"/>
    <w:rsid w:val="6FB5018B"/>
    <w:rsid w:val="6FCE1C7C"/>
    <w:rsid w:val="712F63C0"/>
    <w:rsid w:val="724E3EEE"/>
    <w:rsid w:val="729E2353"/>
    <w:rsid w:val="72C96432"/>
    <w:rsid w:val="731E2BC7"/>
    <w:rsid w:val="749E7974"/>
    <w:rsid w:val="76FC2CDD"/>
    <w:rsid w:val="7762625C"/>
    <w:rsid w:val="78B268FD"/>
    <w:rsid w:val="7A941B60"/>
    <w:rsid w:val="7BBD55E8"/>
    <w:rsid w:val="7C2D4440"/>
    <w:rsid w:val="7DA20826"/>
    <w:rsid w:val="7E0A1964"/>
    <w:rsid w:val="7F5BFD42"/>
    <w:rsid w:val="7FE5DB79"/>
    <w:rsid w:val="BAEFD3DB"/>
    <w:rsid w:val="BAF77D43"/>
    <w:rsid w:val="EEBD47C3"/>
    <w:rsid w:val="FBEF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Normal Indent"/>
    <w:basedOn w:val="1"/>
    <w:qFormat/>
    <w:uiPriority w:val="0"/>
    <w:pPr>
      <w:ind w:firstLine="420" w:firstLineChars="200"/>
    </w:pPr>
  </w:style>
  <w:style w:type="paragraph" w:styleId="4">
    <w:name w:val="annotation text"/>
    <w:basedOn w:val="1"/>
    <w:link w:val="14"/>
    <w:qFormat/>
    <w:uiPriority w:val="0"/>
  </w:style>
  <w:style w:type="paragraph" w:styleId="5">
    <w:name w:val="Balloon Text"/>
    <w:basedOn w:val="1"/>
    <w:link w:val="16"/>
    <w:qFormat/>
    <w:uiPriority w:val="0"/>
    <w:pPr>
      <w:spacing w:line="240" w:lineRule="auto"/>
    </w:pPr>
    <w:rPr>
      <w:sz w:val="18"/>
      <w:szCs w:val="18"/>
    </w:rPr>
  </w:style>
  <w:style w:type="paragraph" w:styleId="6">
    <w:name w:val="footer"/>
    <w:basedOn w:val="1"/>
    <w:link w:val="18"/>
    <w:qFormat/>
    <w:uiPriority w:val="0"/>
    <w:pPr>
      <w:tabs>
        <w:tab w:val="center" w:pos="4153"/>
        <w:tab w:val="right" w:pos="8306"/>
      </w:tabs>
      <w:snapToGrid w:val="0"/>
      <w:spacing w:line="240" w:lineRule="atLeas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qFormat/>
    <w:uiPriority w:val="0"/>
    <w:rPr>
      <w:sz w:val="21"/>
      <w:szCs w:val="21"/>
    </w:rPr>
  </w:style>
  <w:style w:type="character" w:customStyle="1" w:styleId="13">
    <w:name w:val="正文文本 (2) + 间距 0 pt3"/>
    <w:qFormat/>
    <w:uiPriority w:val="99"/>
    <w:rPr>
      <w:rFonts w:ascii="MingLiU" w:eastAsia="MingLiU" w:cs="MingLiU"/>
      <w:spacing w:val="0"/>
      <w:sz w:val="22"/>
      <w:szCs w:val="22"/>
      <w:u w:val="none"/>
    </w:rPr>
  </w:style>
  <w:style w:type="character" w:customStyle="1" w:styleId="14">
    <w:name w:val="批注文字 Char"/>
    <w:link w:val="4"/>
    <w:qFormat/>
    <w:uiPriority w:val="0"/>
    <w:rPr>
      <w:kern w:val="2"/>
      <w:sz w:val="21"/>
      <w:szCs w:val="21"/>
    </w:rPr>
  </w:style>
  <w:style w:type="character" w:customStyle="1" w:styleId="15">
    <w:name w:val="批注主题 Char"/>
    <w:link w:val="8"/>
    <w:qFormat/>
    <w:uiPriority w:val="0"/>
    <w:rPr>
      <w:b/>
      <w:bCs/>
      <w:kern w:val="2"/>
      <w:sz w:val="21"/>
      <w:szCs w:val="21"/>
    </w:rPr>
  </w:style>
  <w:style w:type="character" w:customStyle="1" w:styleId="16">
    <w:name w:val="批注框文本 Char"/>
    <w:link w:val="5"/>
    <w:qFormat/>
    <w:uiPriority w:val="0"/>
    <w:rPr>
      <w:kern w:val="2"/>
      <w:sz w:val="18"/>
      <w:szCs w:val="18"/>
    </w:rPr>
  </w:style>
  <w:style w:type="character" w:customStyle="1" w:styleId="17">
    <w:name w:val="页眉 Char"/>
    <w:link w:val="7"/>
    <w:qFormat/>
    <w:uiPriority w:val="0"/>
    <w:rPr>
      <w:kern w:val="2"/>
      <w:sz w:val="18"/>
      <w:szCs w:val="18"/>
    </w:rPr>
  </w:style>
  <w:style w:type="character" w:customStyle="1" w:styleId="18">
    <w:name w:val="页脚 Char"/>
    <w:link w:val="6"/>
    <w:qFormat/>
    <w:uiPriority w:val="0"/>
    <w:rPr>
      <w:kern w:val="2"/>
      <w:sz w:val="18"/>
      <w:szCs w:val="18"/>
    </w:rPr>
  </w:style>
  <w:style w:type="character" w:customStyle="1" w:styleId="19">
    <w:name w:val="fontstyle01"/>
    <w:qFormat/>
    <w:uiPriority w:val="0"/>
    <w:rPr>
      <w:rFonts w:hint="eastAsia" w:ascii="宋体" w:hAnsi="宋体" w:eastAsia="宋体"/>
      <w:color w:val="000000"/>
      <w:sz w:val="22"/>
      <w:szCs w:val="22"/>
    </w:rPr>
  </w:style>
  <w:style w:type="character" w:styleId="20">
    <w:name w:val="Placeholder Text"/>
    <w:basedOn w:val="1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江门市公路局</Company>
  <Pages>2</Pages>
  <Words>1527</Words>
  <Characters>1575</Characters>
  <Lines>8</Lines>
  <Paragraphs>2</Paragraphs>
  <TotalTime>209</TotalTime>
  <ScaleCrop>false</ScaleCrop>
  <LinksUpToDate>false</LinksUpToDate>
  <CharactersWithSpaces>1577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2024-05-14T10:20:00Z</dcterms:created>
  <dc:creator>区展锴</dc:creator>
  <cp:lastModifiedBy>毕永红</cp:lastModifiedBy>
  <cp:lastPrinted>2026-05-15T08:41:00Z</cp:lastPrinted>
  <dcterms:modified xsi:type="dcterms:W3CDTF">2026-05-15T15:06:07Z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C70FDBD86294453087CB3D750A882580_13</vt:lpwstr>
  </property>
  <property fmtid="{D5CDD505-2E9C-101B-9397-08002B2CF9AE}" pid="4" name="KSOTemplateDocerSaveRecord">
    <vt:lpwstr>eyJoZGlkIjoiM2Y3ZmUxMjhhOWYwZWMyZTAzODc5ZTM0ZDlkZmQ3YTgiLCJ1c2VySWQiOiIzMjM3NzY3OTMifQ==</vt:lpwstr>
  </property>
</Properties>
</file>