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left"/>
        <w:rPr>
          <w:rFonts w:ascii="方正小标宋简体" w:eastAsia="方正小标宋简体"/>
          <w:sz w:val="40"/>
          <w:szCs w:val="32"/>
        </w:rPr>
      </w:pPr>
      <w:r>
        <w:rPr>
          <w:rFonts w:ascii="方正小标宋简体" w:eastAsia="方正小标宋简体"/>
          <w:sz w:val="22"/>
        </w:rPr>
        <w:t>附件2</w:t>
      </w:r>
    </w:p>
    <w:p>
      <w:pPr>
        <w:jc w:val="center"/>
        <w:rPr>
          <w:rFonts w:ascii="方正小标宋简体" w:eastAsia="方正小标宋简体"/>
          <w:b/>
          <w:sz w:val="40"/>
          <w:szCs w:val="32"/>
        </w:rPr>
      </w:pPr>
      <w:r>
        <w:rPr>
          <w:rFonts w:ascii="方正小标宋简体" w:eastAsia="方正小标宋简体" w:hint="eastAsia"/>
          <w:b/>
          <w:sz w:val="40"/>
          <w:szCs w:val="32"/>
        </w:rPr>
        <w:t>综合评选办法</w:t>
      </w:r>
    </w:p>
    <w:p>
      <w:pPr>
        <w:rPr>
          <w:rFonts w:ascii="仿宋_GB2312" w:eastAsia="仿宋_GB2312"/>
          <w:sz w:val="32"/>
          <w:szCs w:val="32"/>
        </w:rPr>
      </w:pPr>
    </w:p>
    <w:p>
      <w:pPr>
        <w:ind w:firstLineChars="221" w:firstLine="707"/>
        <w:rPr>
          <w:rFonts w:ascii="黑体" w:eastAsia="黑体" w:hAnsi="黑体"/>
          <w:sz w:val="32"/>
          <w:szCs w:val="32"/>
        </w:rPr>
      </w:pPr>
      <w:r>
        <w:rPr>
          <w:rFonts w:ascii="黑体" w:eastAsia="黑体" w:hAnsi="黑体" w:hint="eastAsia"/>
          <w:sz w:val="32"/>
          <w:szCs w:val="32"/>
        </w:rPr>
        <w:t>一、本项目采用综合评分法进行综合评选</w:t>
      </w:r>
    </w:p>
    <w:p>
      <w:pPr>
        <w:ind w:firstLineChars="221" w:firstLine="707"/>
        <w:rPr>
          <w:rFonts w:ascii="仿宋_GB2312" w:eastAsia="仿宋_GB2312"/>
          <w:sz w:val="32"/>
          <w:szCs w:val="32"/>
        </w:rPr>
      </w:pPr>
      <w:r>
        <w:rPr>
          <w:rFonts w:ascii="仿宋_GB2312" w:eastAsia="仿宋_GB2312" w:hint="eastAsia"/>
          <w:sz w:val="32"/>
          <w:szCs w:val="32"/>
        </w:rPr>
        <w:t>综合评选委员会按照综合评选</w:t>
      </w:r>
      <w:bookmarkStart w:id="0" w:name="_GoBack"/>
      <w:bookmarkEnd w:id="0"/>
      <w:r>
        <w:rPr>
          <w:rFonts w:ascii="仿宋_GB2312" w:eastAsia="仿宋_GB2312" w:hint="eastAsia"/>
          <w:sz w:val="32"/>
          <w:szCs w:val="32"/>
        </w:rPr>
        <w:t>标准和综合评选方法对响应文件进行评审和比较，对未能通过初审的响应文件进行作废处理，并在《综合评选报告》中说明原因。对通过初审的响应文件进行技术、管理和价格打分，并计算出所有响应人的综合得分。综合评选委员会完成综合评选工作后出具《综合评选报告》，推荐中选候选供应商，采购人从中选候选供应商名单中按照综合得分排序确定中选供应商。</w:t>
      </w:r>
    </w:p>
    <w:p>
      <w:pPr>
        <w:ind w:firstLineChars="221" w:firstLine="707"/>
        <w:rPr>
          <w:rFonts w:ascii="黑体" w:eastAsia="黑体" w:hAnsi="黑体"/>
          <w:sz w:val="32"/>
          <w:szCs w:val="32"/>
        </w:rPr>
      </w:pPr>
      <w:r>
        <w:rPr>
          <w:rFonts w:ascii="黑体" w:eastAsia="黑体" w:hAnsi="黑体" w:hint="eastAsia"/>
          <w:sz w:val="32"/>
          <w:szCs w:val="32"/>
        </w:rPr>
        <w:t>二、评分权重及综合评选因素</w:t>
      </w:r>
    </w:p>
    <w:p>
      <w:pPr>
        <w:ind w:firstLineChars="221" w:firstLine="707"/>
        <w:rPr>
          <w:rFonts w:ascii="仿宋_GB2312" w:eastAsia="仿宋_GB2312"/>
          <w:sz w:val="32"/>
          <w:szCs w:val="32"/>
        </w:rPr>
      </w:pPr>
      <w:r>
        <w:rPr>
          <w:rFonts w:ascii="仿宋_GB2312" w:eastAsia="仿宋_GB2312" w:hint="eastAsia"/>
          <w:sz w:val="32"/>
          <w:szCs w:val="32"/>
        </w:rPr>
        <w:t>技术指标</w:t>
      </w:r>
      <w:r>
        <w:rPr>
          <w:rFonts w:ascii="仿宋_GB2312" w:eastAsia="仿宋_GB2312" w:hint="eastAsia"/>
          <w:sz w:val="32"/>
          <w:szCs w:val="32"/>
          <w:lang w:val="en-US" w:eastAsia="zh-CN"/>
        </w:rPr>
        <w:t>60</w:t>
      </w:r>
      <w:r>
        <w:rPr>
          <w:rFonts w:ascii="仿宋_GB2312" w:eastAsia="仿宋_GB2312" w:hint="eastAsia"/>
          <w:sz w:val="32"/>
          <w:szCs w:val="32"/>
        </w:rPr>
        <w:t>分、价格指标40分。</w:t>
      </w:r>
    </w:p>
    <w:p>
      <w:pPr>
        <w:ind w:firstLineChars="177" w:firstLine="566"/>
        <w:rPr>
          <w:rFonts w:ascii="黑体" w:eastAsia="黑体" w:hAnsi="黑体"/>
          <w:sz w:val="32"/>
          <w:szCs w:val="32"/>
        </w:rPr>
      </w:pPr>
      <w:r>
        <w:rPr>
          <w:rFonts w:ascii="黑体" w:eastAsia="黑体" w:hAnsi="黑体" w:hint="eastAsia"/>
          <w:sz w:val="32"/>
          <w:szCs w:val="32"/>
        </w:rPr>
        <w:t>三、技术评审和技术指标得分</w:t>
      </w:r>
    </w:p>
    <w:tbl>
      <w:tblPr>
        <w:jc w:val="left"/>
        <w:tblInd w:w="0" w:type="dxa"/>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675"/>
        <w:gridCol w:w="1588"/>
        <w:gridCol w:w="964"/>
        <w:gridCol w:w="992"/>
        <w:gridCol w:w="5103"/>
      </w:tblGrid>
      <w:tr>
        <w:trPr>
          <w:trHeight w:val="473"/>
          <w:tblHeader/>
        </w:trPr>
        <w:tc>
          <w:tcPr>
            <w:tcW w:w="675" w:type="dxa"/>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b/>
                <w:szCs w:val="21"/>
              </w:rPr>
              <w:t>序号</w:t>
            </w:r>
          </w:p>
        </w:tc>
        <w:tc>
          <w:tcPr>
            <w:tcW w:w="1588" w:type="dxa"/>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hint="eastAsia"/>
                <w:b/>
                <w:szCs w:val="21"/>
              </w:rPr>
              <w:t>技术指标</w:t>
            </w:r>
          </w:p>
        </w:tc>
        <w:tc>
          <w:tcPr>
            <w:tcW w:w="964" w:type="dxa"/>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hint="eastAsia"/>
                <w:b/>
                <w:szCs w:val="21"/>
              </w:rPr>
              <w:t>总分</w:t>
            </w:r>
          </w:p>
        </w:tc>
        <w:tc>
          <w:tcPr>
            <w:tcW w:w="992" w:type="dxa"/>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b/>
                <w:szCs w:val="21"/>
              </w:rPr>
              <w:t>分值</w:t>
            </w:r>
          </w:p>
        </w:tc>
        <w:tc>
          <w:tcPr>
            <w:tcW w:w="5103" w:type="dxa"/>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b/>
                <w:szCs w:val="21"/>
              </w:rPr>
              <w:t>评分标准</w:t>
            </w:r>
          </w:p>
        </w:tc>
      </w:tr>
      <w:tr>
        <w:trPr>
          <w:trHeight w:val="1893"/>
        </w:trPr>
        <w:tc>
          <w:tcPr>
            <w:tcW w:w="675" w:type="dxa"/>
            <w:vAlign w:val="center"/>
          </w:tcPr>
          <w:p>
            <w:pPr>
              <w:spacing w:line="480" w:lineRule="exact"/>
              <w:jc w:val="center"/>
              <w:rPr>
                <w:rFonts w:ascii="仿宋_GB2312" w:eastAsia="仿宋_GB2312" w:cs="Times New Roman" w:hAnsi="Times New Roman"/>
                <w:sz w:val="24"/>
                <w:szCs w:val="24"/>
              </w:rPr>
            </w:pPr>
            <w:r>
              <w:rPr>
                <w:rFonts w:ascii="仿宋_GB2312" w:eastAsia="仿宋_GB2312" w:cs="Times New Roman" w:hAnsi="Times New Roman" w:hint="eastAsia"/>
                <w:sz w:val="24"/>
                <w:szCs w:val="24"/>
              </w:rPr>
              <w:t>1</w:t>
            </w:r>
          </w:p>
        </w:tc>
        <w:tc>
          <w:tcPr>
            <w:tcW w:w="1588" w:type="dxa"/>
            <w:tcBorders>
              <w:left w:val="single" w:sz="4" w:space="0" w:color="auto"/>
            </w:tcBorders>
            <w:vAlign w:val="center"/>
          </w:tcPr>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资格条件</w:t>
            </w:r>
          </w:p>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（有效营业执照、出版物经营许可等）</w:t>
            </w:r>
          </w:p>
          <w:p>
            <w:pPr>
              <w:spacing w:line="480" w:lineRule="exact"/>
              <w:jc w:val="center"/>
              <w:rPr>
                <w:rFonts w:ascii="仿宋_GB2312" w:eastAsia="仿宋_GB2312" w:cs="Times New Roman" w:hAnsi="Times New Roman"/>
                <w:bCs/>
                <w:sz w:val="24"/>
                <w:szCs w:val="24"/>
              </w:rPr>
            </w:pPr>
            <w:r>
              <w:rPr>
                <w:rFonts w:ascii="仿宋_GB2312" w:eastAsia="仿宋_GB2312" w:cs="Times New Roman" w:hAnsi="宋体" w:hint="eastAsia"/>
                <w:bCs/>
                <w:sz w:val="24"/>
                <w:szCs w:val="24"/>
              </w:rPr>
              <w:t>（10分）</w:t>
            </w:r>
          </w:p>
        </w:tc>
        <w:tc>
          <w:tcPr>
            <w:tcW w:w="964" w:type="dxa"/>
            <w:vMerge w:val="restart"/>
            <w:tcBorders>
              <w:left w:val="single" w:sz="4" w:space="0" w:color="auto"/>
            </w:tcBorders>
            <w:vAlign w:val="center"/>
          </w:tcPr>
          <w:p>
            <w:pPr>
              <w:keepNext/>
              <w:keepLines/>
              <w:autoSpaceDE w:val="0"/>
              <w:autoSpaceDN w:val="0"/>
              <w:adjustRightInd w:val="0"/>
              <w:spacing w:before="340" w:after="330" w:line="480" w:lineRule="exact"/>
              <w:jc w:val="center"/>
              <w:textAlignment w:val="baseline"/>
              <w:outlineLvl w:val="0"/>
              <w:rPr>
                <w:rFonts w:ascii="仿宋_GB2312" w:eastAsia="仿宋_GB2312" w:cs="Times New Roman" w:hAnsi="Times New Roman"/>
                <w:sz w:val="24"/>
                <w:szCs w:val="24"/>
                <w:lang w:val="en-US" w:eastAsia="zh-CN"/>
              </w:rPr>
            </w:pPr>
            <w:r>
              <w:rPr>
                <w:rFonts w:ascii="仿宋_GB2312" w:eastAsia="仿宋_GB2312" w:cs="Times New Roman" w:hAnsi="Times New Roman" w:hint="eastAsia"/>
                <w:sz w:val="24"/>
                <w:szCs w:val="24"/>
                <w:lang w:val="en-US" w:eastAsia="zh-CN"/>
              </w:rPr>
              <w:t>60</w:t>
            </w:r>
          </w:p>
        </w:tc>
        <w:tc>
          <w:tcPr>
            <w:tcW w:w="992" w:type="dxa"/>
            <w:tcBorders>
              <w:left w:val="single" w:sz="4" w:space="0" w:color="auto"/>
            </w:tcBorders>
            <w:vAlign w:val="center"/>
          </w:tcPr>
          <w:p>
            <w:pPr>
              <w:spacing w:line="480" w:lineRule="exact"/>
              <w:jc w:val="center"/>
              <w:rPr>
                <w:rFonts w:ascii="仿宋_GB2312" w:eastAsia="仿宋_GB2312" w:cs="Times New Roman" w:hAnsi="Times New Roman"/>
                <w:sz w:val="24"/>
                <w:szCs w:val="24"/>
                <w:lang w:val="en-US" w:eastAsia="zh-CN"/>
              </w:rPr>
            </w:pPr>
            <w:r>
              <w:rPr>
                <w:rFonts w:ascii="仿宋_GB2312" w:eastAsia="仿宋_GB2312" w:cs="Times New Roman" w:hAnsi="Times New Roman" w:hint="eastAsia"/>
                <w:sz w:val="24"/>
                <w:szCs w:val="24"/>
                <w:lang w:val="en-US" w:eastAsia="zh-CN"/>
              </w:rPr>
              <w:t>10</w:t>
            </w:r>
          </w:p>
        </w:tc>
        <w:tc>
          <w:tcPr>
            <w:tcW w:w="5103" w:type="dxa"/>
            <w:tcBorders>
              <w:left w:val="single" w:sz="4" w:space="0" w:color="auto"/>
            </w:tcBorders>
            <w:vAlign w:val="center"/>
          </w:tcPr>
          <w:p>
            <w:pPr>
              <w:spacing w:line="480" w:lineRule="exact"/>
              <w:rPr>
                <w:rFonts w:ascii="仿宋_GB2312" w:eastAsia="仿宋_GB2312" w:cs="Times New Roman" w:hAnsi="宋体"/>
                <w:sz w:val="24"/>
                <w:szCs w:val="24"/>
                <w:lang w:val="en-US" w:eastAsia="zh-CN"/>
              </w:rPr>
            </w:pPr>
            <w:r>
              <w:rPr>
                <w:rFonts w:ascii="仿宋_GB2312" w:eastAsia="仿宋_GB2312" w:cs="Times New Roman" w:hAnsi="宋体" w:hint="eastAsia"/>
                <w:sz w:val="24"/>
                <w:szCs w:val="24"/>
                <w:lang w:eastAsia="zh-CN"/>
              </w:rPr>
              <w:t>具有有效营业执照、出版物经营许可等资质，得</w:t>
            </w:r>
            <w:r>
              <w:rPr>
                <w:rFonts w:ascii="仿宋_GB2312" w:eastAsia="仿宋_GB2312" w:cs="Times New Roman" w:hAnsi="宋体" w:hint="eastAsia"/>
                <w:sz w:val="24"/>
                <w:szCs w:val="24"/>
                <w:lang w:val="en-US" w:eastAsia="zh-CN"/>
              </w:rPr>
              <w:t>10分；</w:t>
            </w:r>
          </w:p>
          <w:p>
            <w:pPr>
              <w:spacing w:line="400" w:lineRule="exact"/>
              <w:rPr>
                <w:rFonts w:ascii="Segoe UI" w:eastAsia="Segoe UI" w:cs="Segoe UI" w:hAnsi="Segoe UI"/>
                <w:i w:val="0"/>
                <w:iCs w:val="0"/>
                <w:caps w:val="0"/>
                <w:smallCaps w:val="0"/>
                <w:color w:val="05073B"/>
                <w:spacing w:val="0"/>
                <w:sz w:val="22"/>
                <w:szCs w:val="22"/>
                <w:shd w:val="clear" w:color="auto" w:fill="FDFDFE"/>
              </w:rPr>
            </w:pPr>
            <w:r>
              <w:rPr>
                <w:rFonts w:ascii="仿宋_GB2312" w:eastAsia="仿宋_GB2312" w:cs="Times New Roman" w:hAnsi="宋体" w:hint="eastAsia"/>
                <w:b/>
                <w:sz w:val="24"/>
                <w:szCs w:val="24"/>
              </w:rPr>
              <w:t>注：不提供不得分。</w:t>
            </w:r>
          </w:p>
        </w:tc>
      </w:tr>
      <w:tr>
        <w:trPr>
          <w:trHeight w:val="1893"/>
        </w:trPr>
        <w:tc>
          <w:tcPr>
            <w:tcW w:w="675" w:type="dxa"/>
            <w:vAlign w:val="center"/>
          </w:tcPr>
          <w:p>
            <w:pPr>
              <w:spacing w:line="480" w:lineRule="exact"/>
              <w:jc w:val="center"/>
              <w:rPr>
                <w:rFonts w:ascii="仿宋_GB2312" w:eastAsia="仿宋_GB2312" w:cs="Times New Roman" w:hAnsi="Times New Roman"/>
                <w:sz w:val="24"/>
                <w:szCs w:val="24"/>
              </w:rPr>
            </w:pPr>
            <w:r>
              <w:rPr>
                <w:rFonts w:ascii="仿宋_GB2312" w:eastAsia="仿宋_GB2312" w:cs="Times New Roman" w:hAnsi="Times New Roman" w:hint="eastAsia"/>
                <w:sz w:val="24"/>
                <w:szCs w:val="24"/>
              </w:rPr>
              <w:t>2</w:t>
            </w:r>
          </w:p>
        </w:tc>
        <w:tc>
          <w:tcPr>
            <w:tcW w:w="1588" w:type="dxa"/>
            <w:tcBorders>
              <w:left w:val="single" w:sz="4" w:space="0" w:color="auto"/>
            </w:tcBorders>
            <w:vAlign w:val="center"/>
          </w:tcPr>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总体能力</w:t>
            </w:r>
          </w:p>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（拥有报纸和“两微一端”新媒体传播平台、自有印刷设备等）</w:t>
            </w:r>
          </w:p>
          <w:p>
            <w:pPr>
              <w:spacing w:line="480" w:lineRule="exact"/>
              <w:jc w:val="center"/>
              <w:rPr>
                <w:rFonts w:ascii="仿宋_GB2312" w:eastAsia="仿宋_GB2312" w:cs="Times New Roman" w:hAnsi="Times New Roman"/>
                <w:bCs/>
                <w:sz w:val="24"/>
                <w:szCs w:val="24"/>
              </w:rPr>
            </w:pPr>
            <w:r>
              <w:rPr>
                <w:rFonts w:ascii="仿宋_GB2312" w:eastAsia="仿宋_GB2312" w:cs="Times New Roman" w:hAnsi="宋体" w:hint="eastAsia"/>
                <w:bCs/>
                <w:sz w:val="24"/>
                <w:szCs w:val="24"/>
                <w:lang w:eastAsia="zh-CN"/>
              </w:rPr>
              <w:t>（</w:t>
            </w:r>
            <w:r>
              <w:rPr>
                <w:rFonts w:ascii="仿宋_GB2312" w:eastAsia="仿宋_GB2312" w:cs="Times New Roman" w:hAnsi="宋体" w:hint="eastAsia"/>
                <w:bCs/>
                <w:sz w:val="24"/>
                <w:szCs w:val="24"/>
                <w:lang w:val="en-US" w:eastAsia="zh-CN"/>
              </w:rPr>
              <w:t>20分</w:t>
            </w:r>
            <w:r>
              <w:rPr>
                <w:rFonts w:ascii="仿宋_GB2312" w:eastAsia="仿宋_GB2312" w:cs="Times New Roman" w:hAnsi="宋体" w:hint="eastAsia"/>
                <w:bCs/>
                <w:sz w:val="24"/>
                <w:szCs w:val="24"/>
                <w:lang w:eastAsia="zh-CN"/>
              </w:rPr>
              <w:t>）</w:t>
            </w:r>
            <w:r>
              <w:rPr>
                <w:rFonts w:ascii="仿宋_GB2312" w:eastAsia="仿宋_GB2312" w:cs="Times New Roman" w:hAnsi="宋体" w:hint="eastAsia"/>
                <w:bCs/>
                <w:sz w:val="24"/>
                <w:szCs w:val="24"/>
              </w:rPr>
              <w:t xml:space="preserve">  </w:t>
            </w:r>
          </w:p>
        </w:tc>
        <w:tc>
          <w:tcPr>
            <w:tcW w:w="964" w:type="dxa"/>
            <w:vMerge/>
            <w:tcBorders>
              <w:left w:val="single" w:sz="4" w:space="0" w:color="auto"/>
            </w:tcBorders>
            <w:vAlign w:val="center"/>
          </w:tcPr>
          <w:p/>
        </w:tc>
        <w:tc>
          <w:tcPr>
            <w:tcW w:w="992" w:type="dxa"/>
            <w:tcBorders>
              <w:left w:val="single" w:sz="4" w:space="0" w:color="auto"/>
            </w:tcBorders>
            <w:vAlign w:val="center"/>
          </w:tcPr>
          <w:p>
            <w:pPr>
              <w:spacing w:line="480" w:lineRule="exact"/>
              <w:jc w:val="center"/>
              <w:rPr>
                <w:rFonts w:ascii="仿宋_GB2312" w:eastAsia="仿宋_GB2312" w:cs="Times New Roman" w:hAnsi="Times New Roman"/>
                <w:sz w:val="24"/>
                <w:szCs w:val="24"/>
                <w:lang w:val="en-US" w:eastAsia="zh-CN"/>
              </w:rPr>
            </w:pPr>
            <w:r>
              <w:rPr>
                <w:rFonts w:ascii="仿宋_GB2312" w:eastAsia="仿宋_GB2312" w:cs="Times New Roman" w:hAnsi="Times New Roman" w:hint="eastAsia"/>
                <w:sz w:val="24"/>
                <w:szCs w:val="24"/>
                <w:lang w:val="en-US" w:eastAsia="zh-CN"/>
              </w:rPr>
              <w:t>20</w:t>
            </w:r>
          </w:p>
        </w:tc>
        <w:tc>
          <w:tcPr>
            <w:tcW w:w="5103" w:type="dxa"/>
            <w:tcBorders>
              <w:left w:val="single" w:sz="4" w:space="0" w:color="auto"/>
            </w:tcBorders>
            <w:vAlign w:val="center"/>
          </w:tcPr>
          <w:p>
            <w:pPr>
              <w:spacing w:line="480" w:lineRule="exact"/>
              <w:rPr>
                <w:rFonts w:ascii="仿宋_GB2312" w:eastAsia="仿宋_GB2312" w:cs="Times New Roman" w:hAnsi="Times New Roman" w:hint="eastAsia"/>
                <w:sz w:val="24"/>
                <w:szCs w:val="24"/>
                <w:lang w:eastAsia="zh-CN"/>
              </w:rPr>
            </w:pPr>
            <w:r>
              <w:rPr>
                <w:rFonts w:ascii="仿宋_GB2312" w:eastAsia="仿宋_GB2312" w:cs="Times New Roman" w:hAnsi="宋体" w:hint="eastAsia"/>
                <w:sz w:val="24"/>
                <w:szCs w:val="24"/>
              </w:rPr>
              <w:t>根据</w:t>
            </w:r>
            <w:r>
              <w:rPr>
                <w:rFonts w:ascii="仿宋_GB2312" w:eastAsia="仿宋_GB2312" w:cs="Times New Roman" w:hAnsi="宋体" w:hint="eastAsia"/>
                <w:sz w:val="24"/>
                <w:szCs w:val="24"/>
                <w:lang w:eastAsia="zh-CN"/>
              </w:rPr>
              <w:t>总体能力实际情况评分：</w:t>
            </w:r>
          </w:p>
          <w:p>
            <w:pPr>
              <w:numPr>
                <w:ilvl w:val="0"/>
                <w:numId w:val="1"/>
              </w:numPr>
              <w:spacing w:line="480" w:lineRule="exact"/>
              <w:rPr>
                <w:rFonts w:ascii="仿宋_GB2312" w:eastAsia="仿宋_GB2312" w:cs="Times New Roman" w:hAnsi="宋体" w:hint="eastAsia"/>
                <w:bCs/>
                <w:sz w:val="24"/>
                <w:szCs w:val="24"/>
                <w:lang w:val="en-US" w:eastAsia="zh-CN"/>
              </w:rPr>
            </w:pPr>
            <w:r>
              <w:rPr>
                <w:rFonts w:ascii="仿宋_GB2312" w:eastAsia="仿宋_GB2312" w:cs="Times New Roman" w:hAnsi="宋体" w:hint="eastAsia"/>
                <w:bCs/>
                <w:sz w:val="24"/>
                <w:szCs w:val="24"/>
              </w:rPr>
              <w:t>拥有报纸和“两微一端”新媒体传播平台、自有印刷设备等</w:t>
            </w:r>
            <w:r>
              <w:rPr>
                <w:rFonts w:ascii="仿宋_GB2312" w:eastAsia="仿宋_GB2312" w:cs="Times New Roman" w:hAnsi="宋体" w:hint="eastAsia"/>
                <w:bCs/>
                <w:sz w:val="24"/>
                <w:szCs w:val="24"/>
                <w:lang w:eastAsia="zh-CN"/>
              </w:rPr>
              <w:t>，得</w:t>
            </w:r>
            <w:r>
              <w:rPr>
                <w:rFonts w:ascii="仿宋_GB2312" w:eastAsia="仿宋_GB2312" w:cs="Times New Roman" w:hAnsi="宋体" w:hint="eastAsia"/>
                <w:bCs/>
                <w:sz w:val="24"/>
                <w:szCs w:val="24"/>
                <w:lang w:val="en-US" w:eastAsia="zh-CN"/>
              </w:rPr>
              <w:t>20分；</w:t>
            </w:r>
          </w:p>
          <w:p>
            <w:pPr>
              <w:numPr>
                <w:ilvl w:val="0"/>
                <w:numId w:val="1"/>
              </w:numPr>
              <w:spacing w:line="480" w:lineRule="exact"/>
              <w:rPr>
                <w:rFonts w:ascii="仿宋_GB2312" w:eastAsia="仿宋_GB2312" w:cs="Times New Roman" w:hAnsi="宋体"/>
                <w:sz w:val="24"/>
                <w:szCs w:val="24"/>
              </w:rPr>
            </w:pPr>
            <w:r>
              <w:rPr>
                <w:rFonts w:ascii="仿宋_GB2312" w:eastAsia="仿宋_GB2312" w:cs="Times New Roman" w:hAnsi="宋体" w:hint="eastAsia"/>
                <w:bCs/>
                <w:sz w:val="24"/>
                <w:szCs w:val="24"/>
                <w:lang w:eastAsia="zh-CN"/>
              </w:rPr>
              <w:t>仅</w:t>
            </w:r>
            <w:r>
              <w:rPr>
                <w:rFonts w:ascii="仿宋_GB2312" w:eastAsia="仿宋_GB2312" w:cs="Times New Roman" w:hAnsi="宋体" w:hint="eastAsia"/>
                <w:bCs/>
                <w:sz w:val="24"/>
                <w:szCs w:val="24"/>
              </w:rPr>
              <w:t>拥有报纸和“两微一端”新媒体传播平台</w:t>
            </w:r>
            <w:r>
              <w:rPr>
                <w:rFonts w:ascii="仿宋_GB2312" w:eastAsia="仿宋_GB2312" w:cs="Times New Roman" w:hAnsi="宋体" w:hint="eastAsia"/>
                <w:bCs/>
                <w:sz w:val="24"/>
                <w:szCs w:val="24"/>
                <w:lang w:eastAsia="zh-CN"/>
              </w:rPr>
              <w:t>能力</w:t>
            </w:r>
            <w:r>
              <w:rPr>
                <w:rFonts w:ascii="仿宋_GB2312" w:eastAsia="仿宋_GB2312" w:cs="Times New Roman" w:hAnsi="宋体" w:hint="eastAsia"/>
                <w:sz w:val="24"/>
                <w:szCs w:val="24"/>
              </w:rPr>
              <w:t>，</w:t>
            </w:r>
            <w:r>
              <w:rPr>
                <w:rFonts w:ascii="仿宋_GB2312" w:eastAsia="仿宋_GB2312" w:cs="Times New Roman" w:hAnsi="宋体" w:hint="eastAsia"/>
                <w:sz w:val="24"/>
                <w:szCs w:val="24"/>
                <w:lang w:eastAsia="zh-CN"/>
              </w:rPr>
              <w:t>得</w:t>
            </w:r>
            <w:r>
              <w:rPr>
                <w:rFonts w:ascii="仿宋_GB2312" w:eastAsia="仿宋_GB2312" w:cs="Times New Roman" w:hAnsi="宋体" w:hint="eastAsia"/>
                <w:sz w:val="24"/>
                <w:szCs w:val="24"/>
                <w:lang w:val="en-US" w:eastAsia="zh-CN"/>
              </w:rPr>
              <w:t>10分</w:t>
            </w:r>
            <w:r>
              <w:rPr>
                <w:rFonts w:ascii="仿宋_GB2312" w:eastAsia="仿宋_GB2312" w:cs="Times New Roman" w:hAnsi="宋体" w:hint="eastAsia"/>
                <w:sz w:val="24"/>
                <w:szCs w:val="24"/>
              </w:rPr>
              <w:t>；</w:t>
            </w:r>
          </w:p>
          <w:p>
            <w:pPr>
              <w:spacing w:line="480" w:lineRule="exact"/>
              <w:rPr>
                <w:rFonts w:ascii="Segoe UI" w:eastAsia="Segoe UI" w:cs="Segoe UI" w:hAnsi="Segoe UI"/>
                <w:i w:val="0"/>
                <w:iCs w:val="0"/>
                <w:caps w:val="0"/>
                <w:smallCaps w:val="0"/>
                <w:color w:val="05073B"/>
                <w:spacing w:val="0"/>
                <w:sz w:val="22"/>
                <w:szCs w:val="22"/>
                <w:shd w:val="clear" w:color="auto" w:fill="FDFDFE"/>
              </w:rPr>
            </w:pPr>
            <w:r>
              <w:rPr>
                <w:rFonts w:ascii="仿宋_GB2312" w:eastAsia="仿宋_GB2312" w:cs="Times New Roman" w:hAnsi="宋体" w:hint="eastAsia"/>
                <w:sz w:val="24"/>
                <w:szCs w:val="24"/>
              </w:rPr>
              <w:t>3.</w:t>
            </w:r>
            <w:r>
              <w:rPr>
                <w:rFonts w:ascii="仿宋_GB2312" w:eastAsia="仿宋_GB2312" w:cs="Times New Roman" w:hAnsi="宋体" w:hint="eastAsia"/>
                <w:sz w:val="24"/>
                <w:szCs w:val="24"/>
                <w:lang w:eastAsia="zh-CN"/>
              </w:rPr>
              <w:t>仅</w:t>
            </w:r>
            <w:r>
              <w:rPr>
                <w:rFonts w:ascii="Segoe UI" w:eastAsia="Segoe UI" w:cs="Segoe UI" w:hAnsi="Segoe UI" w:hint="eastAsia"/>
                <w:i w:val="0"/>
                <w:iCs w:val="0"/>
                <w:caps w:val="0"/>
                <w:smallCaps w:val="0"/>
                <w:color w:val="05073B"/>
                <w:spacing w:val="0"/>
                <w:sz w:val="22"/>
                <w:szCs w:val="22"/>
                <w:shd w:val="clear" w:color="auto" w:fill="FDFDFE"/>
                <w:lang w:eastAsia="zh-CN"/>
              </w:rPr>
              <w:t>拥有</w:t>
            </w:r>
            <w:r>
              <w:rPr>
                <w:rFonts w:ascii="Segoe UI" w:eastAsia="Segoe UI" w:cs="Segoe UI" w:hAnsi="Segoe UI"/>
                <w:i w:val="0"/>
                <w:iCs w:val="0"/>
                <w:caps w:val="0"/>
                <w:smallCaps w:val="0"/>
                <w:color w:val="05073B"/>
                <w:spacing w:val="0"/>
                <w:sz w:val="22"/>
                <w:szCs w:val="22"/>
                <w:shd w:val="clear" w:color="auto" w:fill="FDFDFE"/>
              </w:rPr>
              <w:t>自有印刷设备及其他相关技术能力</w:t>
            </w:r>
            <w:r>
              <w:rPr>
                <w:rFonts w:ascii="Segoe UI" w:eastAsia="Segoe UI" w:cs="Segoe UI" w:hAnsi="Segoe UI" w:hint="eastAsia"/>
                <w:i w:val="0"/>
                <w:iCs w:val="0"/>
                <w:caps w:val="0"/>
                <w:smallCaps w:val="0"/>
                <w:color w:val="05073B"/>
                <w:spacing w:val="0"/>
                <w:sz w:val="22"/>
                <w:szCs w:val="22"/>
                <w:shd w:val="clear" w:color="auto" w:fill="FDFDFE"/>
              </w:rPr>
              <w:t>，得</w:t>
            </w:r>
            <w:r>
              <w:rPr>
                <w:rFonts w:ascii="Segoe UI" w:eastAsia="宋体" w:cs="Segoe UI" w:hAnsi="Segoe UI" w:hint="eastAsia"/>
                <w:i w:val="0"/>
                <w:iCs w:val="0"/>
                <w:caps w:val="0"/>
                <w:smallCaps w:val="0"/>
                <w:color w:val="05073B"/>
                <w:spacing w:val="0"/>
                <w:sz w:val="22"/>
                <w:szCs w:val="22"/>
                <w:shd w:val="clear" w:color="auto" w:fill="FDFDFE"/>
                <w:lang w:val="en-US" w:eastAsia="zh-CN"/>
              </w:rPr>
              <w:t>10</w:t>
            </w:r>
            <w:r>
              <w:rPr>
                <w:rFonts w:ascii="Segoe UI" w:eastAsia="Segoe UI" w:cs="Segoe UI" w:hAnsi="Segoe UI" w:hint="eastAsia"/>
                <w:i w:val="0"/>
                <w:iCs w:val="0"/>
                <w:caps w:val="0"/>
                <w:smallCaps w:val="0"/>
                <w:color w:val="05073B"/>
                <w:spacing w:val="0"/>
                <w:sz w:val="22"/>
                <w:szCs w:val="22"/>
                <w:shd w:val="clear" w:color="auto" w:fill="FDFDFE"/>
              </w:rPr>
              <w:t>分；</w:t>
            </w:r>
          </w:p>
          <w:p>
            <w:pPr>
              <w:spacing w:line="480" w:lineRule="exact"/>
              <w:rPr>
                <w:rFonts w:ascii="仿宋_GB2312" w:eastAsia="仿宋_GB2312" w:cs="Times New Roman" w:hAnsi="宋体" w:hint="eastAsia"/>
                <w:sz w:val="24"/>
                <w:szCs w:val="24"/>
                <w:lang w:eastAsia="zh-CN"/>
              </w:rPr>
            </w:pPr>
            <w:r>
              <w:rPr>
                <w:rFonts w:ascii="仿宋_GB2312" w:eastAsia="仿宋_GB2312" w:cs="Times New Roman" w:hAnsi="宋体" w:hint="eastAsia"/>
                <w:sz w:val="24"/>
                <w:szCs w:val="24"/>
                <w:lang w:eastAsia="zh-CN"/>
              </w:rPr>
              <w:t>4.不满足的，得0分。</w:t>
            </w:r>
          </w:p>
          <w:p>
            <w:pPr>
              <w:spacing w:line="480" w:lineRule="exact"/>
              <w:rPr>
                <w:rFonts w:ascii="仿宋_GB2312" w:eastAsia="仿宋_GB2312" w:cs="Times New Roman" w:hAnsi="Times New Roman"/>
                <w:sz w:val="24"/>
                <w:szCs w:val="24"/>
              </w:rPr>
            </w:pPr>
            <w:r>
              <w:rPr>
                <w:rFonts w:ascii="仿宋_GB2312" w:eastAsia="仿宋_GB2312" w:cs="Times New Roman" w:hAnsi="宋体" w:hint="eastAsia"/>
                <w:b/>
                <w:sz w:val="24"/>
                <w:szCs w:val="24"/>
              </w:rPr>
              <w:t>注：不提供不得分。</w:t>
            </w:r>
          </w:p>
        </w:tc>
      </w:tr>
      <w:tr>
        <w:trPr>
          <w:trHeight w:val="1893"/>
        </w:trPr>
        <w:tc>
          <w:tcPr>
            <w:tcW w:w="675" w:type="dxa"/>
            <w:vAlign w:val="center"/>
          </w:tcPr>
          <w:p>
            <w:pPr>
              <w:spacing w:line="480" w:lineRule="exact"/>
              <w:jc w:val="center"/>
              <w:rPr>
                <w:rFonts w:ascii="仿宋_GB2312" w:eastAsia="仿宋_GB2312" w:cs="Times New Roman" w:hAnsi="Times New Roman" w:hint="eastAsia"/>
                <w:sz w:val="24"/>
                <w:szCs w:val="24"/>
              </w:rPr>
            </w:pPr>
          </w:p>
        </w:tc>
        <w:tc>
          <w:tcPr>
            <w:tcW w:w="1588" w:type="dxa"/>
            <w:tcBorders>
              <w:left w:val="single" w:sz="4" w:space="0" w:color="auto"/>
            </w:tcBorders>
            <w:vAlign w:val="center"/>
          </w:tcPr>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人员配备情况</w:t>
            </w:r>
          </w:p>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（配备持有新闻记者证的专业人员）</w:t>
            </w:r>
          </w:p>
          <w:p>
            <w:pPr>
              <w:spacing w:line="480" w:lineRule="exact"/>
              <w:jc w:val="center"/>
              <w:rPr>
                <w:rFonts w:ascii="仿宋_GB2312" w:eastAsia="仿宋_GB2312" w:cs="Times New Roman" w:hAnsi="宋体" w:hint="eastAsia"/>
                <w:bCs/>
                <w:sz w:val="24"/>
                <w:szCs w:val="24"/>
                <w:lang w:eastAsia="zh-CN"/>
              </w:rPr>
            </w:pPr>
            <w:r>
              <w:rPr>
                <w:rFonts w:ascii="仿宋_GB2312" w:eastAsia="仿宋_GB2312" w:cs="Times New Roman" w:hAnsi="宋体" w:hint="eastAsia"/>
                <w:bCs/>
                <w:sz w:val="24"/>
                <w:szCs w:val="24"/>
                <w:lang w:eastAsia="zh-CN"/>
              </w:rPr>
              <w:t>（</w:t>
            </w:r>
            <w:r>
              <w:rPr>
                <w:rFonts w:ascii="仿宋_GB2312" w:eastAsia="仿宋_GB2312" w:cs="Times New Roman" w:hAnsi="宋体" w:hint="eastAsia"/>
                <w:bCs/>
                <w:sz w:val="24"/>
                <w:szCs w:val="24"/>
                <w:lang w:val="en-US" w:eastAsia="zh-CN"/>
              </w:rPr>
              <w:t>10分</w:t>
            </w:r>
            <w:r>
              <w:rPr>
                <w:rFonts w:ascii="仿宋_GB2312" w:eastAsia="仿宋_GB2312" w:cs="Times New Roman" w:hAnsi="宋体" w:hint="eastAsia"/>
                <w:bCs/>
                <w:sz w:val="24"/>
                <w:szCs w:val="24"/>
                <w:lang w:eastAsia="zh-CN"/>
              </w:rPr>
              <w:t>）</w:t>
            </w:r>
          </w:p>
        </w:tc>
        <w:tc>
          <w:tcPr>
            <w:tcW w:w="964" w:type="dxa"/>
            <w:tcBorders>
              <w:left w:val="single" w:sz="4" w:space="0" w:color="auto"/>
            </w:tcBorders>
            <w:vAlign w:val="center"/>
          </w:tcPr>
          <w:p>
            <w:pPr>
              <w:keepNext/>
              <w:keepLines/>
              <w:autoSpaceDE w:val="0"/>
              <w:autoSpaceDN w:val="0"/>
              <w:adjustRightInd w:val="0"/>
              <w:spacing w:before="340" w:after="330" w:line="480" w:lineRule="exact"/>
              <w:jc w:val="center"/>
              <w:textAlignment w:val="baseline"/>
              <w:outlineLvl w:val="0"/>
              <w:rPr>
                <w:rFonts w:ascii="仿宋_GB2312" w:eastAsia="仿宋_GB2312" w:cs="Times New Roman" w:hAnsi="Times New Roman"/>
                <w:sz w:val="24"/>
                <w:szCs w:val="24"/>
              </w:rPr>
            </w:pPr>
          </w:p>
        </w:tc>
        <w:tc>
          <w:tcPr>
            <w:tcW w:w="992" w:type="dxa"/>
            <w:tcBorders>
              <w:left w:val="single" w:sz="4" w:space="0" w:color="auto"/>
            </w:tcBorders>
            <w:vAlign w:val="center"/>
          </w:tcPr>
          <w:p>
            <w:pPr>
              <w:spacing w:line="480" w:lineRule="exact"/>
              <w:jc w:val="center"/>
              <w:rPr>
                <w:rFonts w:ascii="仿宋_GB2312" w:eastAsia="仿宋_GB2312" w:cs="Times New Roman" w:hAnsi="Times New Roman"/>
                <w:sz w:val="24"/>
                <w:szCs w:val="24"/>
                <w:lang w:val="en-US" w:eastAsia="zh-CN"/>
              </w:rPr>
            </w:pPr>
            <w:r>
              <w:rPr>
                <w:rFonts w:ascii="仿宋_GB2312" w:eastAsia="仿宋_GB2312" w:cs="Times New Roman" w:hAnsi="Times New Roman" w:hint="eastAsia"/>
                <w:sz w:val="24"/>
                <w:szCs w:val="24"/>
                <w:lang w:val="en-US" w:eastAsia="zh-CN"/>
              </w:rPr>
              <w:t>10</w:t>
            </w:r>
          </w:p>
        </w:tc>
        <w:tc>
          <w:tcPr>
            <w:tcW w:w="5103" w:type="dxa"/>
            <w:tcBorders>
              <w:left w:val="single" w:sz="4" w:space="0" w:color="auto"/>
            </w:tcBorders>
            <w:vAlign w:val="center"/>
          </w:tcPr>
          <w:p>
            <w:pPr>
              <w:spacing w:line="480" w:lineRule="exact"/>
              <w:rPr>
                <w:rFonts w:ascii="仿宋_GB2312" w:eastAsia="仿宋_GB2312" w:cs="Times New Roman" w:hAnsi="宋体" w:hint="eastAsia"/>
                <w:sz w:val="24"/>
                <w:szCs w:val="24"/>
                <w:lang w:val="en-US" w:eastAsia="zh-CN"/>
              </w:rPr>
            </w:pPr>
            <w:r>
              <w:rPr>
                <w:rFonts w:ascii="仿宋_GB2312" w:eastAsia="仿宋_GB2312" w:cs="Times New Roman" w:hAnsi="宋体" w:hint="eastAsia"/>
                <w:sz w:val="24"/>
                <w:szCs w:val="24"/>
                <w:lang w:val="en-US" w:eastAsia="zh-CN"/>
              </w:rPr>
              <w:t>根据人员配备的实际情况评分：</w:t>
            </w:r>
          </w:p>
          <w:p>
            <w:pPr>
              <w:spacing w:line="480" w:lineRule="exact"/>
              <w:rPr>
                <w:rFonts w:ascii="仿宋_GB2312" w:eastAsia="仿宋_GB2312" w:cs="Times New Roman" w:hAnsi="宋体" w:hint="eastAsia"/>
                <w:sz w:val="24"/>
                <w:szCs w:val="24"/>
                <w:lang w:val="en-US" w:eastAsia="zh-CN"/>
              </w:rPr>
            </w:pPr>
            <w:r>
              <w:rPr>
                <w:rFonts w:ascii="仿宋_GB2312" w:eastAsia="仿宋_GB2312" w:cs="Times New Roman" w:hAnsi="宋体" w:hint="eastAsia"/>
                <w:kern w:val="2"/>
                <w:sz w:val="24"/>
                <w:szCs w:val="24"/>
                <w:lang w:val="en-US" w:eastAsia="zh-CN" w:bidi="ar-SA"/>
              </w:rPr>
              <w:t>1.</w:t>
            </w:r>
            <w:r>
              <w:rPr>
                <w:rFonts w:ascii="仿宋_GB2312" w:eastAsia="仿宋_GB2312" w:cs="Times New Roman" w:hAnsi="宋体" w:hint="eastAsia"/>
                <w:sz w:val="24"/>
                <w:szCs w:val="24"/>
                <w:lang w:val="en-US" w:eastAsia="zh-CN"/>
              </w:rPr>
              <w:t>配备持有新闻记者证的专业人员，得10分；</w:t>
            </w:r>
          </w:p>
          <w:p>
            <w:pPr>
              <w:spacing w:line="480" w:lineRule="exact"/>
              <w:ind w:left="0" w:firstLine="0"/>
              <w:rPr>
                <w:rFonts w:ascii="仿宋_GB2312" w:eastAsia="仿宋_GB2312" w:cs="Times New Roman" w:hAnsi="宋体" w:hint="eastAsia"/>
                <w:sz w:val="24"/>
                <w:szCs w:val="24"/>
                <w:lang w:val="en-US" w:eastAsia="zh-CN"/>
              </w:rPr>
            </w:pPr>
            <w:r>
              <w:rPr>
                <w:rFonts w:ascii="仿宋_GB2312" w:eastAsia="仿宋_GB2312" w:cs="Times New Roman" w:hAnsi="宋体" w:hint="eastAsia"/>
                <w:kern w:val="2"/>
                <w:sz w:val="24"/>
                <w:szCs w:val="24"/>
                <w:lang w:val="en-US" w:eastAsia="zh-CN" w:bidi="ar-SA"/>
              </w:rPr>
              <w:t>2.</w:t>
            </w:r>
            <w:r>
              <w:rPr>
                <w:rFonts w:ascii="仿宋_GB2312" w:eastAsia="仿宋_GB2312" w:cs="Times New Roman" w:hAnsi="宋体" w:hint="eastAsia"/>
                <w:sz w:val="24"/>
                <w:szCs w:val="24"/>
                <w:lang w:val="en-US" w:eastAsia="zh-CN"/>
              </w:rPr>
              <w:t>不配备持有新闻记者证的专业人员，得0分；</w:t>
            </w:r>
          </w:p>
          <w:p>
            <w:pPr>
              <w:spacing w:line="480" w:lineRule="exact"/>
              <w:ind w:left="0" w:firstLine="0"/>
              <w:rPr>
                <w:rFonts w:ascii="仿宋_GB2312" w:eastAsia="仿宋_GB2312" w:cs="Times New Roman" w:hAnsi="宋体"/>
                <w:sz w:val="24"/>
                <w:szCs w:val="24"/>
                <w:lang w:val="en-US" w:eastAsia="zh-CN"/>
              </w:rPr>
            </w:pPr>
            <w:r>
              <w:rPr>
                <w:rFonts w:ascii="仿宋_GB2312" w:eastAsia="仿宋_GB2312" w:cs="Times New Roman" w:hAnsi="宋体" w:hint="eastAsia"/>
                <w:b/>
                <w:sz w:val="24"/>
                <w:szCs w:val="24"/>
              </w:rPr>
              <w:t>注：不提供不得分。</w:t>
            </w:r>
          </w:p>
        </w:tc>
      </w:tr>
      <w:tr>
        <w:trPr>
          <w:trHeight w:val="1893"/>
        </w:trPr>
        <w:tc>
          <w:tcPr>
            <w:tcW w:w="675" w:type="dxa"/>
            <w:vAlign w:val="center"/>
          </w:tcPr>
          <w:p>
            <w:pPr>
              <w:spacing w:line="480" w:lineRule="exact"/>
              <w:jc w:val="center"/>
              <w:rPr>
                <w:rFonts w:ascii="仿宋_GB2312" w:eastAsia="仿宋_GB2312" w:cs="Times New Roman" w:hAnsi="Times New Roman" w:hint="eastAsia"/>
                <w:sz w:val="24"/>
                <w:szCs w:val="24"/>
              </w:rPr>
            </w:pPr>
          </w:p>
        </w:tc>
        <w:tc>
          <w:tcPr>
            <w:tcW w:w="1588" w:type="dxa"/>
            <w:tcBorders>
              <w:left w:val="single" w:sz="4" w:space="0" w:color="auto"/>
            </w:tcBorders>
            <w:vAlign w:val="center"/>
          </w:tcPr>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项目运营方案</w:t>
            </w:r>
          </w:p>
          <w:p>
            <w:pPr>
              <w:spacing w:line="480" w:lineRule="exact"/>
              <w:jc w:val="center"/>
              <w:rPr>
                <w:rFonts w:ascii="仿宋_GB2312" w:eastAsia="仿宋_GB2312" w:cs="Times New Roman" w:hAnsi="宋体" w:hint="eastAsia"/>
                <w:bCs/>
                <w:sz w:val="24"/>
                <w:szCs w:val="24"/>
              </w:rPr>
            </w:pPr>
            <w:r>
              <w:rPr>
                <w:rFonts w:ascii="仿宋_GB2312" w:eastAsia="仿宋_GB2312" w:cs="Times New Roman" w:hAnsi="宋体" w:hint="eastAsia"/>
                <w:bCs/>
                <w:sz w:val="24"/>
                <w:szCs w:val="24"/>
              </w:rPr>
              <w:t>（20分）</w:t>
            </w:r>
          </w:p>
        </w:tc>
        <w:tc>
          <w:tcPr>
            <w:tcW w:w="964" w:type="dxa"/>
            <w:tcBorders>
              <w:left w:val="single" w:sz="4" w:space="0" w:color="auto"/>
            </w:tcBorders>
            <w:vAlign w:val="center"/>
          </w:tcPr>
          <w:p>
            <w:pPr>
              <w:keepNext/>
              <w:keepLines/>
              <w:autoSpaceDE w:val="0"/>
              <w:autoSpaceDN w:val="0"/>
              <w:adjustRightInd w:val="0"/>
              <w:spacing w:before="340" w:after="330" w:line="480" w:lineRule="exact"/>
              <w:jc w:val="center"/>
              <w:textAlignment w:val="baseline"/>
              <w:outlineLvl w:val="0"/>
              <w:rPr>
                <w:rFonts w:ascii="仿宋_GB2312" w:eastAsia="仿宋_GB2312" w:cs="Times New Roman" w:hAnsi="Times New Roman"/>
                <w:sz w:val="24"/>
                <w:szCs w:val="24"/>
              </w:rPr>
            </w:pPr>
          </w:p>
        </w:tc>
        <w:tc>
          <w:tcPr>
            <w:tcW w:w="992" w:type="dxa"/>
            <w:tcBorders>
              <w:left w:val="single" w:sz="4" w:space="0" w:color="auto"/>
            </w:tcBorders>
            <w:vAlign w:val="center"/>
          </w:tcPr>
          <w:p>
            <w:pPr>
              <w:spacing w:line="480" w:lineRule="exact"/>
              <w:jc w:val="center"/>
              <w:rPr>
                <w:rFonts w:ascii="仿宋_GB2312" w:eastAsia="仿宋_GB2312" w:cs="Times New Roman" w:hAnsi="Times New Roman"/>
                <w:sz w:val="24"/>
                <w:szCs w:val="24"/>
                <w:lang w:val="en-US" w:eastAsia="zh-CN"/>
              </w:rPr>
            </w:pPr>
            <w:r>
              <w:rPr>
                <w:rFonts w:ascii="仿宋_GB2312" w:eastAsia="仿宋_GB2312" w:cs="Times New Roman" w:hAnsi="Times New Roman" w:hint="eastAsia"/>
                <w:sz w:val="24"/>
                <w:szCs w:val="24"/>
                <w:lang w:val="en-US" w:eastAsia="zh-CN"/>
              </w:rPr>
              <w:t>20</w:t>
            </w:r>
          </w:p>
        </w:tc>
        <w:tc>
          <w:tcPr>
            <w:tcW w:w="5103" w:type="dxa"/>
            <w:tcBorders>
              <w:left w:val="single" w:sz="4" w:space="0" w:color="auto"/>
            </w:tcBorders>
            <w:vAlign w:val="center"/>
          </w:tcPr>
          <w:p>
            <w:pPr>
              <w:spacing w:line="480" w:lineRule="exact"/>
              <w:rPr>
                <w:rFonts w:ascii="仿宋_GB2312" w:eastAsia="仿宋_GB2312" w:cs="Times New Roman" w:hAnsi="宋体" w:hint="eastAsia"/>
                <w:sz w:val="24"/>
                <w:szCs w:val="24"/>
                <w:lang w:eastAsia="zh-CN"/>
              </w:rPr>
            </w:pPr>
            <w:r>
              <w:rPr>
                <w:rFonts w:ascii="仿宋_GB2312" w:eastAsia="仿宋_GB2312" w:cs="Times New Roman" w:hAnsi="宋体" w:hint="eastAsia"/>
                <w:sz w:val="24"/>
                <w:szCs w:val="24"/>
                <w:lang w:eastAsia="zh-CN"/>
              </w:rPr>
              <w:t>根据项目运营方案的实际情况评分：</w:t>
            </w:r>
          </w:p>
          <w:p>
            <w:pPr>
              <w:spacing w:line="480" w:lineRule="exact"/>
              <w:rPr>
                <w:rFonts w:ascii="仿宋_GB2312" w:eastAsia="仿宋_GB2312" w:cs="Times New Roman" w:hAnsi="宋体" w:hint="eastAsia"/>
                <w:sz w:val="24"/>
                <w:szCs w:val="24"/>
                <w:lang w:val="en-US" w:eastAsia="zh-CN"/>
              </w:rPr>
            </w:pPr>
            <w:r>
              <w:rPr>
                <w:rFonts w:ascii="仿宋_GB2312" w:eastAsia="仿宋_GB2312" w:cs="Times New Roman" w:hAnsi="宋体" w:hint="eastAsia"/>
                <w:sz w:val="24"/>
                <w:szCs w:val="24"/>
                <w:lang w:val="en-US" w:eastAsia="zh-CN"/>
              </w:rPr>
              <w:t>1.优，得11-20分；</w:t>
            </w:r>
          </w:p>
          <w:p>
            <w:pPr>
              <w:spacing w:line="480" w:lineRule="exact"/>
              <w:rPr>
                <w:rFonts w:ascii="仿宋_GB2312" w:eastAsia="仿宋_GB2312" w:cs="Times New Roman" w:hAnsi="宋体"/>
                <w:sz w:val="24"/>
                <w:szCs w:val="24"/>
                <w:lang w:val="en-US" w:eastAsia="zh-CN"/>
              </w:rPr>
            </w:pPr>
            <w:r>
              <w:rPr>
                <w:rFonts w:ascii="仿宋_GB2312" w:eastAsia="仿宋_GB2312" w:cs="Times New Roman" w:hAnsi="宋体" w:hint="eastAsia"/>
                <w:sz w:val="24"/>
                <w:szCs w:val="24"/>
                <w:lang w:val="en-US" w:eastAsia="zh-CN"/>
              </w:rPr>
              <w:t>2.良，得5-10分；</w:t>
            </w:r>
          </w:p>
          <w:p>
            <w:pPr>
              <w:spacing w:line="480" w:lineRule="exact"/>
              <w:rPr>
                <w:rFonts w:ascii="仿宋_GB2312" w:eastAsia="仿宋_GB2312" w:cs="Times New Roman" w:hAnsi="宋体"/>
                <w:sz w:val="24"/>
                <w:szCs w:val="24"/>
                <w:lang w:val="en-US" w:eastAsia="zh-CN"/>
              </w:rPr>
            </w:pPr>
            <w:r>
              <w:rPr>
                <w:rFonts w:ascii="仿宋_GB2312" w:eastAsia="仿宋_GB2312" w:cs="Times New Roman" w:hAnsi="宋体" w:hint="eastAsia"/>
                <w:sz w:val="24"/>
                <w:szCs w:val="24"/>
                <w:lang w:val="en-US" w:eastAsia="zh-CN"/>
              </w:rPr>
              <w:t>3.不合格，得0分 ；</w:t>
            </w:r>
          </w:p>
          <w:p>
            <w:pPr>
              <w:spacing w:line="480" w:lineRule="exact"/>
              <w:rPr>
                <w:rFonts w:ascii="仿宋_GB2312" w:eastAsia="仿宋_GB2312" w:cs="Times New Roman" w:hAnsi="宋体"/>
                <w:sz w:val="24"/>
                <w:szCs w:val="24"/>
                <w:lang w:val="en-US" w:eastAsia="zh-CN"/>
              </w:rPr>
            </w:pPr>
            <w:r>
              <w:rPr>
                <w:rFonts w:ascii="仿宋_GB2312" w:eastAsia="仿宋_GB2312" w:cs="Times New Roman" w:hAnsi="宋体" w:hint="eastAsia"/>
                <w:b/>
                <w:sz w:val="24"/>
                <w:szCs w:val="24"/>
              </w:rPr>
              <w:t>注：不提供不得分。</w:t>
            </w:r>
          </w:p>
        </w:tc>
      </w:tr>
    </w:tbl>
    <w:p>
      <w:pPr>
        <w:ind w:firstLineChars="221" w:firstLine="707"/>
        <w:rPr>
          <w:rFonts w:ascii="仿宋_GB2312" w:eastAsia="仿宋_GB2312"/>
          <w:sz w:val="32"/>
          <w:szCs w:val="32"/>
        </w:rPr>
      </w:pPr>
      <w:r>
        <w:rPr>
          <w:rFonts w:ascii="仿宋_GB2312" w:eastAsia="仿宋_GB2312"/>
          <w:sz w:val="32"/>
          <w:szCs w:val="32"/>
        </w:rPr>
        <w:t>1.由综合评选委员会对所有响应文件的技术指标响应进行审核和分析后；对响应文件的技术指标响应进行评分，填写《技术</w:t>
      </w:r>
      <w:r>
        <w:rPr>
          <w:rFonts w:ascii="仿宋_GB2312" w:eastAsia="仿宋_GB2312" w:hint="eastAsia"/>
          <w:sz w:val="32"/>
          <w:szCs w:val="32"/>
        </w:rPr>
        <w:t>指标评分</w:t>
      </w:r>
      <w:r>
        <w:rPr>
          <w:rFonts w:ascii="仿宋_GB2312" w:eastAsia="仿宋_GB2312"/>
          <w:sz w:val="32"/>
          <w:szCs w:val="32"/>
        </w:rPr>
        <w:t>表》。</w:t>
      </w:r>
    </w:p>
    <w:p>
      <w:pPr>
        <w:ind w:firstLineChars="221" w:firstLine="707"/>
        <w:rPr>
          <w:rFonts w:ascii="仿宋_GB2312" w:eastAsia="仿宋_GB2312"/>
          <w:sz w:val="32"/>
          <w:szCs w:val="32"/>
        </w:rPr>
      </w:pPr>
      <w:r>
        <w:rPr>
          <w:rFonts w:ascii="仿宋_GB2312" w:eastAsia="仿宋_GB2312"/>
          <w:sz w:val="32"/>
          <w:szCs w:val="32"/>
        </w:rPr>
        <w:t>2.将综合评选委员会各成员的《技术</w:t>
      </w:r>
      <w:r>
        <w:rPr>
          <w:rFonts w:ascii="仿宋_GB2312" w:eastAsia="仿宋_GB2312" w:hint="eastAsia"/>
          <w:sz w:val="32"/>
          <w:szCs w:val="32"/>
        </w:rPr>
        <w:t>指标评分</w:t>
      </w:r>
      <w:r>
        <w:rPr>
          <w:rFonts w:ascii="仿宋_GB2312" w:eastAsia="仿宋_GB2312"/>
          <w:sz w:val="32"/>
          <w:szCs w:val="32"/>
        </w:rPr>
        <w:t>表》汇集，取评分的算术平均值，为该响应人的技术</w:t>
      </w:r>
      <w:r>
        <w:rPr>
          <w:rFonts w:ascii="仿宋_GB2312" w:eastAsia="仿宋_GB2312" w:hint="eastAsia"/>
          <w:sz w:val="32"/>
          <w:szCs w:val="32"/>
        </w:rPr>
        <w:t>指标</w:t>
      </w:r>
      <w:r>
        <w:rPr>
          <w:rFonts w:ascii="仿宋_GB2312" w:eastAsia="仿宋_GB2312"/>
          <w:sz w:val="32"/>
          <w:szCs w:val="32"/>
        </w:rPr>
        <w:t>得分。</w:t>
      </w:r>
    </w:p>
    <w:p>
      <w:pPr>
        <w:ind w:firstLineChars="221" w:firstLine="707"/>
        <w:rPr>
          <w:rFonts w:ascii="黑体" w:eastAsia="黑体" w:hAnsi="黑体"/>
          <w:sz w:val="32"/>
          <w:szCs w:val="32"/>
        </w:rPr>
      </w:pPr>
      <w:r>
        <w:rPr>
          <w:rFonts w:ascii="黑体" w:eastAsia="黑体" w:hAnsi="黑体" w:hint="eastAsia"/>
          <w:sz w:val="32"/>
          <w:szCs w:val="32"/>
          <w:lang w:eastAsia="zh-CN"/>
        </w:rPr>
        <w:t>四</w:t>
      </w:r>
      <w:r>
        <w:rPr>
          <w:rFonts w:ascii="黑体" w:eastAsia="黑体" w:hAnsi="黑体" w:hint="eastAsia"/>
          <w:sz w:val="32"/>
          <w:szCs w:val="32"/>
        </w:rPr>
        <w:t>、价格核准和价格指标得分</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788"/>
        <w:gridCol w:w="984"/>
        <w:gridCol w:w="6288"/>
      </w:tblGrid>
      <w:tr>
        <w:tc>
          <w:tcPr>
            <w:tcW w:w="1788" w:type="dxa"/>
            <w:shd w:val="clear" w:color="auto" w:fill="auto"/>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hint="eastAsia"/>
                <w:b/>
                <w:szCs w:val="21"/>
              </w:rPr>
              <w:t>评审内容</w:t>
            </w:r>
          </w:p>
        </w:tc>
        <w:tc>
          <w:tcPr>
            <w:tcW w:w="984" w:type="dxa"/>
            <w:shd w:val="clear" w:color="auto" w:fill="auto"/>
            <w:vAlign w:val="center"/>
          </w:tcPr>
          <w:p>
            <w:pPr>
              <w:spacing w:line="480" w:lineRule="exact"/>
              <w:jc w:val="center"/>
              <w:rPr>
                <w:rFonts w:ascii="Times New Roman" w:eastAsia="宋体" w:cs="Times New Roman" w:hAnsi="Times New Roman"/>
                <w:b/>
                <w:szCs w:val="21"/>
              </w:rPr>
            </w:pPr>
            <w:r>
              <w:rPr>
                <w:rFonts w:ascii="Times New Roman" w:eastAsia="宋体" w:cs="Times New Roman" w:hAnsi="宋体" w:hint="eastAsia"/>
                <w:b/>
                <w:szCs w:val="21"/>
              </w:rPr>
              <w:t>总分</w:t>
            </w:r>
          </w:p>
        </w:tc>
        <w:tc>
          <w:tcPr>
            <w:tcW w:w="6288" w:type="dxa"/>
            <w:shd w:val="clear" w:color="auto" w:fill="auto"/>
            <w:vAlign w:val="center"/>
          </w:tcPr>
          <w:p>
            <w:pPr>
              <w:spacing w:line="480" w:lineRule="exact"/>
              <w:jc w:val="center"/>
              <w:rPr>
                <w:rFonts w:ascii="Times New Roman" w:eastAsia="宋体" w:cs="Times New Roman" w:hAnsi="Times New Roman"/>
                <w:szCs w:val="21"/>
              </w:rPr>
            </w:pPr>
            <w:r>
              <w:rPr>
                <w:rFonts w:ascii="Times New Roman" w:eastAsia="宋体" w:cs="Times New Roman" w:hAnsi="宋体" w:hint="eastAsia"/>
                <w:b/>
                <w:szCs w:val="21"/>
              </w:rPr>
              <w:t>评分细则</w:t>
            </w:r>
          </w:p>
        </w:tc>
      </w:tr>
      <w:tr>
        <w:trPr>
          <w:trHeight w:val="1450"/>
        </w:trPr>
        <w:tc>
          <w:tcPr>
            <w:tcW w:w="1788" w:type="dxa"/>
            <w:shd w:val="clear" w:color="auto" w:fill="auto"/>
            <w:vAlign w:val="center"/>
          </w:tcPr>
          <w:p>
            <w:pPr>
              <w:spacing w:line="480" w:lineRule="exact"/>
              <w:jc w:val="center"/>
              <w:rPr>
                <w:rFonts w:ascii="仿宋_GB2312" w:eastAsia="仿宋_GB2312" w:cs="Times New Roman" w:hAnsi="Times New Roman"/>
                <w:sz w:val="28"/>
                <w:szCs w:val="28"/>
              </w:rPr>
            </w:pPr>
            <w:r>
              <w:rPr>
                <w:rFonts w:ascii="仿宋_GB2312" w:eastAsia="仿宋_GB2312" w:cs="Times New Roman" w:hAnsi="宋体" w:hint="eastAsia"/>
                <w:kern w:val="0"/>
                <w:sz w:val="28"/>
                <w:szCs w:val="28"/>
              </w:rPr>
              <w:t>价格评分</w:t>
            </w:r>
          </w:p>
        </w:tc>
        <w:tc>
          <w:tcPr>
            <w:tcW w:w="984" w:type="dxa"/>
            <w:tcBorders>
              <w:left w:val="single" w:sz="4" w:space="0" w:color="auto"/>
            </w:tcBorders>
            <w:shd w:val="clear" w:color="auto" w:fill="auto"/>
            <w:vAlign w:val="center"/>
          </w:tcPr>
          <w:p>
            <w:pPr>
              <w:spacing w:line="480" w:lineRule="exact"/>
              <w:jc w:val="center"/>
              <w:rPr>
                <w:rFonts w:ascii="仿宋_GB2312" w:eastAsia="仿宋_GB2312" w:cs="Times New Roman" w:hAnsi="Times New Roman"/>
                <w:sz w:val="28"/>
                <w:szCs w:val="28"/>
              </w:rPr>
            </w:pPr>
            <w:r>
              <w:rPr>
                <w:rFonts w:ascii="仿宋_GB2312" w:eastAsia="仿宋_GB2312" w:cs="Times New Roman" w:hAnsi="Times New Roman" w:hint="eastAsia"/>
                <w:sz w:val="28"/>
                <w:szCs w:val="28"/>
              </w:rPr>
              <w:t>40</w:t>
            </w:r>
            <w:r>
              <w:rPr>
                <w:rFonts w:ascii="仿宋_GB2312" w:eastAsia="仿宋_GB2312" w:cs="Times New Roman" w:hAnsi="宋体" w:hint="eastAsia"/>
                <w:sz w:val="28"/>
                <w:szCs w:val="28"/>
              </w:rPr>
              <w:t>分</w:t>
            </w:r>
          </w:p>
        </w:tc>
        <w:tc>
          <w:tcPr>
            <w:tcW w:w="6288" w:type="dxa"/>
            <w:tcBorders>
              <w:left w:val="single" w:sz="4" w:space="0" w:color="auto"/>
            </w:tcBorders>
            <w:shd w:val="clear" w:color="auto" w:fill="auto"/>
            <w:vAlign w:val="center"/>
          </w:tcPr>
          <w:p>
            <w:pPr>
              <w:spacing w:line="480" w:lineRule="exact"/>
              <w:jc w:val="center"/>
              <w:rPr>
                <w:rFonts w:ascii="仿宋_GB2312" w:eastAsia="仿宋_GB2312" w:cs="Times New Roman" w:hAnsi="Times New Roman"/>
                <w:sz w:val="28"/>
                <w:szCs w:val="28"/>
              </w:rPr>
            </w:pPr>
            <w:r>
              <w:rPr>
                <w:rFonts w:ascii="仿宋_GB2312" w:eastAsia="仿宋_GB2312" w:cs="Times New Roman" w:hAnsi="宋体" w:hint="eastAsia"/>
                <w:sz w:val="28"/>
                <w:szCs w:val="28"/>
              </w:rPr>
              <w:t>响应报价得分</w:t>
            </w:r>
            <w:r>
              <w:rPr>
                <w:rFonts w:ascii="仿宋_GB2312" w:eastAsia="仿宋_GB2312" w:cs="Times New Roman" w:hAnsi="Times New Roman" w:hint="eastAsia"/>
                <w:sz w:val="28"/>
                <w:szCs w:val="28"/>
              </w:rPr>
              <w:t>=(</w:t>
            </w:r>
            <w:r>
              <w:rPr>
                <w:rFonts w:ascii="仿宋_GB2312" w:eastAsia="仿宋_GB2312" w:cs="Times New Roman" w:hAnsi="宋体" w:hint="eastAsia"/>
                <w:sz w:val="28"/>
                <w:szCs w:val="28"/>
              </w:rPr>
              <w:t>综合评选基准价／响应报价</w:t>
            </w:r>
            <w:r>
              <w:rPr>
                <w:rFonts w:ascii="仿宋_GB2312" w:eastAsia="仿宋_GB2312" w:cs="Times New Roman" w:hAnsi="Times New Roman" w:hint="eastAsia"/>
                <w:sz w:val="28"/>
                <w:szCs w:val="28"/>
              </w:rPr>
              <w:t>)×40</w:t>
            </w:r>
          </w:p>
        </w:tc>
      </w:tr>
    </w:tbl>
    <w:p>
      <w:pPr>
        <w:rPr>
          <w:rFonts w:ascii="仿宋_GB2312" w:eastAsia="仿宋_GB2312"/>
          <w:sz w:val="32"/>
          <w:szCs w:val="32"/>
        </w:rPr>
      </w:pPr>
      <w:r>
        <w:rPr>
          <w:rFonts w:ascii="仿宋_GB2312" w:eastAsia="仿宋_GB2312" w:hint="eastAsia"/>
          <w:sz w:val="32"/>
          <w:szCs w:val="32"/>
        </w:rPr>
        <w:t>价格指标得分：</w:t>
      </w:r>
    </w:p>
    <w:p>
      <w:pPr>
        <w:ind w:firstLineChars="221" w:firstLine="707"/>
        <w:rPr>
          <w:rFonts w:ascii="仿宋_GB2312" w:eastAsia="仿宋_GB2312"/>
          <w:sz w:val="32"/>
          <w:szCs w:val="32"/>
        </w:rPr>
      </w:pPr>
      <w:r>
        <w:rPr>
          <w:rFonts w:ascii="仿宋_GB2312" w:eastAsia="仿宋_GB2312" w:hint="eastAsia"/>
          <w:sz w:val="32"/>
          <w:szCs w:val="32"/>
        </w:rPr>
        <w:t>取满足采购要求的最低响应报价作为综合评选基准价，定综合评选基准价的价格评分为40分。其他响应人的价格指标得分按照下列公式计算：</w:t>
      </w:r>
    </w:p>
    <w:p>
      <w:pPr>
        <w:ind w:firstLineChars="221" w:firstLine="707"/>
        <w:rPr>
          <w:rFonts w:ascii="仿宋_GB2312" w:eastAsia="仿宋_GB2312"/>
          <w:sz w:val="32"/>
          <w:szCs w:val="32"/>
        </w:rPr>
      </w:pPr>
      <w:r>
        <w:rPr>
          <w:rFonts w:ascii="仿宋_GB2312" w:eastAsia="仿宋_GB2312" w:hint="eastAsia"/>
          <w:sz w:val="32"/>
          <w:szCs w:val="32"/>
        </w:rPr>
        <w:t>价格指标得分=(综合评选基准价／响应报价)×40</w:t>
      </w:r>
    </w:p>
    <w:p>
      <w:pPr>
        <w:ind w:firstLineChars="221" w:firstLine="707"/>
        <w:rPr>
          <w:rFonts w:ascii="黑体" w:eastAsia="黑体" w:hAnsi="黑体"/>
          <w:sz w:val="32"/>
          <w:szCs w:val="32"/>
        </w:rPr>
      </w:pPr>
      <w:r>
        <w:rPr>
          <w:rFonts w:ascii="黑体" w:eastAsia="黑体" w:hAnsi="黑体" w:hint="eastAsia"/>
          <w:sz w:val="32"/>
          <w:szCs w:val="32"/>
          <w:lang w:eastAsia="zh-CN"/>
        </w:rPr>
        <w:t>五</w:t>
      </w:r>
      <w:r>
        <w:rPr>
          <w:rFonts w:ascii="黑体" w:eastAsia="黑体" w:hAnsi="黑体" w:hint="eastAsia"/>
          <w:sz w:val="32"/>
          <w:szCs w:val="32"/>
        </w:rPr>
        <w:t>、综合得分的计算</w:t>
      </w:r>
    </w:p>
    <w:p>
      <w:pPr>
        <w:ind w:firstLineChars="221" w:firstLine="707"/>
        <w:rPr>
          <w:rFonts w:ascii="仿宋_GB2312" w:eastAsia="仿宋_GB2312"/>
          <w:sz w:val="32"/>
          <w:szCs w:val="32"/>
        </w:rPr>
      </w:pPr>
      <w:r>
        <w:rPr>
          <w:rFonts w:ascii="仿宋_GB2312" w:eastAsia="仿宋_GB2312" w:hint="eastAsia"/>
          <w:sz w:val="32"/>
          <w:szCs w:val="32"/>
        </w:rPr>
        <w:t>1．综合得分=技术指标得分+管理服务指标得分+价格指标得分；</w:t>
      </w:r>
    </w:p>
    <w:p>
      <w:pPr>
        <w:ind w:firstLineChars="221" w:firstLine="707"/>
        <w:rPr>
          <w:rFonts w:ascii="仿宋_GB2312" w:eastAsia="仿宋_GB2312"/>
          <w:sz w:val="32"/>
          <w:szCs w:val="32"/>
        </w:rPr>
      </w:pPr>
      <w:r>
        <w:rPr>
          <w:rFonts w:ascii="仿宋_GB2312" w:eastAsia="仿宋_GB2312" w:hint="eastAsia"/>
          <w:sz w:val="32"/>
          <w:szCs w:val="32"/>
        </w:rPr>
        <w:t>2. 在综合评选过程中所有计算结果均精确到小数点后四位，第五位数四舍五入；</w:t>
      </w:r>
    </w:p>
    <w:p>
      <w:pPr>
        <w:ind w:firstLineChars="221" w:firstLine="707"/>
        <w:rPr>
          <w:rFonts w:ascii="仿宋_GB2312" w:eastAsia="仿宋_GB2312"/>
          <w:sz w:val="32"/>
          <w:szCs w:val="32"/>
        </w:rPr>
      </w:pPr>
      <w:r>
        <w:rPr>
          <w:rFonts w:ascii="仿宋_GB2312" w:eastAsia="仿宋_GB2312" w:hint="eastAsia"/>
          <w:sz w:val="32"/>
          <w:szCs w:val="32"/>
        </w:rPr>
        <w:t>3. 将综合得分从高到低排出名次，综合得分最高的响应人为第一中选候选供应商，第二名为第二中选候选供应商，以此类推；</w:t>
      </w:r>
    </w:p>
    <w:p>
      <w:pPr>
        <w:ind w:firstLineChars="221" w:firstLine="707"/>
        <w:rPr>
          <w:rFonts w:ascii="仿宋_GB2312" w:eastAsia="仿宋_GB2312"/>
          <w:sz w:val="32"/>
          <w:szCs w:val="32"/>
        </w:rPr>
      </w:pPr>
      <w:r>
        <w:rPr>
          <w:rFonts w:ascii="仿宋_GB2312" w:eastAsia="仿宋_GB2312" w:hint="eastAsia"/>
          <w:sz w:val="32"/>
          <w:szCs w:val="32"/>
        </w:rPr>
        <w:t>4.综合得分相同的，按响应报价由低到高顺序排出名次，报价最低的响应人为第一中选候选供应商；</w:t>
      </w:r>
    </w:p>
    <w:p>
      <w:pPr>
        <w:ind w:firstLineChars="221" w:firstLine="707"/>
        <w:rPr>
          <w:rFonts w:ascii="仿宋_GB2312" w:eastAsia="仿宋_GB2312"/>
          <w:sz w:val="32"/>
          <w:szCs w:val="32"/>
        </w:rPr>
      </w:pPr>
      <w:r>
        <w:rPr>
          <w:rFonts w:ascii="仿宋_GB2312" w:eastAsia="仿宋_GB2312" w:hint="eastAsia"/>
          <w:sz w:val="32"/>
          <w:szCs w:val="32"/>
        </w:rPr>
        <w:t>5.综合得分且响应报价相同的，按技术评定得分由高到低顺序排出名次，名次最高的响应人为第一中选候选供应商；</w:t>
      </w:r>
    </w:p>
    <w:p>
      <w:pPr>
        <w:ind w:firstLineChars="221" w:firstLine="707"/>
        <w:rPr>
          <w:rFonts w:ascii="仿宋_GB2312" w:eastAsia="仿宋_GB2312"/>
          <w:sz w:val="32"/>
          <w:szCs w:val="32"/>
        </w:rPr>
      </w:pPr>
      <w:r>
        <w:rPr>
          <w:rFonts w:ascii="仿宋_GB2312" w:eastAsia="仿宋_GB2312" w:hint="eastAsia"/>
          <w:sz w:val="32"/>
          <w:szCs w:val="32"/>
        </w:rPr>
        <w:t>6.本项目只确定一家中选供应商。</w:t>
      </w:r>
    </w:p>
    <w:sectPr>
      <w:footerReference w:type="default" r:id="rId2"/>
      <w:pgSz w:w="11906" w:h="16838"/>
      <w:pgMar w:top="1898" w:right="1474" w:bottom="1985" w:left="1588" w:header="851" w:footer="1588"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Batang">
    <w:altName w:val="方正小标宋简体"/>
    <w:panose1 w:val="02030600000101010101"/>
    <w:charset w:val="81"/>
    <w:family w:val="roman"/>
    <w:pitch w:val="variable"/>
    <w:sig w:usb0="B00002AF" w:usb1="69D77CFB" w:usb2="00000030" w:usb3="00000000" w:csb0="4008009F" w:csb1="DFD70000"/>
  </w:font>
  <w:font w:name="方正小标宋简体">
    <w:panose1 w:val="02010601030101010101"/>
    <w:charset w:val="86"/>
    <w:family w:val="script"/>
    <w:pitch w:val="variable"/>
    <w:sig w:usb0="00000001" w:usb1="080E0000" w:usb2="00000000" w:usb3="00000000" w:csb0="00040000"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华文中宋"/>
    <w:panose1 w:val="02010600030101010101"/>
    <w:charset w:val="86"/>
    <w:family w:val="auto"/>
    <w:pitch w:val="variable"/>
    <w:sig w:usb0="00000003" w:usb1="288F0000" w:usb2="00000006" w:usb3="00000000" w:csb0="00040001" w:csb1="00000000"/>
  </w:font>
  <w:font w:name="Segoe UI">
    <w:altName w:val="DejaVu Sans"/>
    <w:panose1 w:val="020B0502040204020203"/>
    <w:charset w:val="00"/>
    <w:family w:val="auto"/>
    <w:pitch w:val="variable"/>
    <w:sig w:usb0="E10022FF" w:usb1="C000E47F" w:usb2="00000029" w:usb3="00000000" w:csb0="200001DF" w:csb1="2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文泉驿微米黑">
    <w:panose1 w:val="020B0606030804020204"/>
    <w:charset w:val="86"/>
    <w:family w:val="auto"/>
    <w:pitch w:val="variable"/>
    <w:sig w:usb0="E10002EF" w:usb1="6BDFFCFB" w:usb2="00800036" w:usb3="00000000" w:csb0="603E01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180904619"/>
      <w:docPartList>
        <w:docPartGallery w:val="autotext"/>
      </w:docPartList>
    </w:sdtPr>
    <w:sdtEndPr>
      <w:rPr>
        <w:rFonts w:ascii="Batang" w:eastAsia="Batang" w:hAnsi="Batang"/>
        <w:sz w:val="28"/>
        <w:szCs w:val="28"/>
      </w:rPr>
    </w:sdtEndPr>
    <w:sdtContent>
      <w:p>
        <w:pPr>
          <w:pStyle w:val="16"/>
          <w:tabs>
            <w:tab w:val="center" w:pos="4153"/>
            <w:tab w:val="right" w:pos="8306"/>
          </w:tabs>
          <w:jc w:val="center"/>
          <w:rPr>
            <w:rFonts w:ascii="Batang" w:eastAsia="Batang" w:hAnsi="Batang"/>
            <w:sz w:val="28"/>
            <w:szCs w:val="28"/>
          </w:rPr>
        </w:pPr>
        <w:r>
          <w:rPr>
            <w:rFonts w:ascii="Batang" w:eastAsia="Batang" w:hAnsi="Batang" w:hint="eastAsia"/>
            <w:sz w:val="28"/>
            <w:szCs w:val="28"/>
          </w:rPr>
          <w:t>－</w:t>
        </w:r>
        <w:r>
          <w:rPr>
            <w:rFonts w:ascii="Batang" w:eastAsia="Batang" w:hAnsi="Batang"/>
            <w:sz w:val="28"/>
            <w:szCs w:val="28"/>
          </w:rPr>
          <w:fldChar w:fldCharType="begin"/>
        </w:r>
        <w:r>
          <w:rPr>
            <w:rFonts w:ascii="Batang" w:eastAsia="Batang" w:hAnsi="Batang"/>
            <w:sz w:val="28"/>
            <w:szCs w:val="28"/>
          </w:rPr>
          <w:instrText>PAGE   \* MERGEFORMAT</w:instrText>
        </w:r>
        <w:r>
          <w:rPr>
            <w:rFonts w:ascii="Batang" w:eastAsia="Batang" w:hAnsi="Batang"/>
            <w:sz w:val="28"/>
            <w:szCs w:val="28"/>
          </w:rPr>
          <w:fldChar w:fldCharType="separate"/>
        </w:r>
        <w:r>
          <w:rPr>
            <w:rFonts w:ascii="Batang" w:eastAsia="Batang" w:hAnsi="Batang"/>
            <w:sz w:val="28"/>
            <w:szCs w:val="28"/>
            <w:lang w:val="zh-CN"/>
          </w:rPr>
          <w:t>2</w:t>
        </w:r>
        <w:r>
          <w:rPr>
            <w:rFonts w:ascii="Batang" w:eastAsia="Batang" w:hAnsi="Batang"/>
            <w:sz w:val="28"/>
            <w:szCs w:val="28"/>
          </w:rPr>
          <w:fldChar w:fldCharType="end"/>
        </w:r>
        <w:r>
          <w:rPr>
            <w:rFonts w:ascii="Batang" w:eastAsia="Batang" w:hAnsi="Batang" w:hint="eastAsia"/>
            <w:sz w:val="28"/>
            <w:szCs w:val="28"/>
          </w:rPr>
          <w:t>－</w:t>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7A53B9B4"/>
    <w:multiLevelType w:val="singleLevel"/>
    <w:tmpl w:val="7A53B9B4"/>
    <w:lvl w:ilvl="0">
      <w:start w:val="1"/>
      <w:numFmt w:val="decimal"/>
      <w:lvlRestart w:val="0"/>
      <w:lvlText w:val="%1."/>
      <w:lvlJc w:val="left"/>
      <w:pPr>
        <w:tabs>
          <w:tab w:val="num" w:pos="312"/>
        </w:tabs>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jY4YWU0ZTcwYjQ2MmQ1ZWYyNmZjZmQyNTM3NTQ4MWY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autoRedefine/>
  </w:style>
  <w:style w:type="paragraph" w:styleId="15">
    <w:name w:val="Balloon Text"/>
    <w:qFormat/>
    <w:basedOn w:val="0"/>
    <w:autoRedefine/>
    <w:rPr>
      <w:sz w:val="18"/>
      <w:szCs w:val="18"/>
    </w:rPr>
  </w:style>
  <w:style w:type="paragraph" w:styleId="16">
    <w:name w:val="footer"/>
    <w:qFormat/>
    <w:basedOn w:val="0"/>
    <w:autoRedefine/>
    <w:pPr>
      <w:tabs>
        <w:tab w:val="center" w:pos="4153"/>
        <w:tab w:val="right" w:pos="8306"/>
      </w:tabs>
      <w:snapToGrid w:val="0"/>
      <w:jc w:val="left"/>
    </w:pPr>
    <w:rPr>
      <w:sz w:val="18"/>
      <w:szCs w:val="18"/>
    </w:rPr>
  </w:style>
  <w:style w:type="paragraph" w:styleId="17">
    <w:name w:val="header"/>
    <w:qFormat/>
    <w:basedOn w:val="0"/>
    <w:autoRedefine/>
    <w:pPr>
      <w:pBdr>
        <w:bottom w:val="single" w:sz="6" w:space="1" w:color="auto"/>
      </w:pBdr>
      <w:tabs>
        <w:tab w:val="center" w:pos="4153"/>
        <w:tab w:val="right" w:pos="8306"/>
      </w:tabs>
      <w:snapToGrid w:val="0"/>
      <w:jc w:val="center"/>
    </w:pPr>
    <w:rPr>
      <w:sz w:val="18"/>
      <w:szCs w:val="18"/>
    </w:rPr>
  </w:style>
  <w:style w:type="paragraph" w:styleId="18">
    <w:name w:val="List Paragraph"/>
    <w:qFormat/>
    <w:basedOn w:val="0"/>
    <w:autoRedefine/>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EBD8D13-2487-4D16-9DCB-957351512F2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23</TotalTime>
  <Application>WPS_Yozo_Office9.0.5233.191ZH.S1</Application>
  <Pages>4</Pages>
  <Words>0</Words>
  <Characters>925</Characters>
  <Lines>0</Lines>
  <Paragraphs>23</Paragraphs>
  <CharactersWithSpaces>1234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用户</dc:creator>
  <cp:lastModifiedBy>greatwall</cp:lastModifiedBy>
  <cp:revision>3</cp:revision>
  <cp:lastPrinted>2021-03-29T00:31:00Z</cp:lastPrinted>
  <dcterms:created xsi:type="dcterms:W3CDTF">2023-01-12T01:26:00Z</dcterms:created>
  <dcterms:modified xsi:type="dcterms:W3CDTF">2026-03-16T00:40:40Z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B7965E81952F46E091FBD1B88F630118_12</vt:lpwstr>
  </property>
  <property fmtid="{D5CDD505-2E9C-101B-9397-08002B2CF9AE}" pid="4" name="KSOTemplateDocerSaveRecord">
    <vt:lpwstr>eyJoZGlkIjoiNDQ3ZjNjZjc2Y2ZkZDhkNDJkMzFiNmI1ZTY0YjU4NzQiLCJ1c2VySWQiOiIyOTk3OTA3NDYifQ==</vt:lpwstr>
  </property>
</Properties>
</file>