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Times New Roman" w:eastAsia="方正小标宋简体" w:cs="Times New Roman"/>
          <w:sz w:val="44"/>
          <w:szCs w:val="36"/>
        </w:rPr>
      </w:pPr>
      <w:bookmarkStart w:id="0" w:name="bookmark30"/>
      <w:bookmarkStart w:id="1" w:name="bookmark31"/>
      <w:bookmarkStart w:id="2" w:name="bookmark32"/>
      <w:r>
        <w:rPr>
          <w:rFonts w:hint="eastAsia" w:ascii="方正小标宋简体" w:hAnsi="Times New Roman" w:eastAsia="方正小标宋简体" w:cs="Times New Roman"/>
          <w:sz w:val="44"/>
          <w:szCs w:val="36"/>
        </w:rPr>
        <w:t>食品经营监督检查要点表</w:t>
      </w:r>
    </w:p>
    <w:tbl>
      <w:tblPr>
        <w:tblStyle w:val="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8" w:hRule="atLeast"/>
        </w:trPr>
        <w:tc>
          <w:tcPr>
            <w:tcW w:w="13120" w:type="dxa"/>
            <w:shd w:val="clear" w:color="auto" w:fill="auto"/>
            <w:vAlign w:val="top"/>
          </w:tcPr>
          <w:p>
            <w:pPr>
              <w:widowControl/>
              <w:adjustRightInd w:val="0"/>
              <w:snapToGrid w:val="0"/>
              <w:spacing w:line="400" w:lineRule="exact"/>
              <w:jc w:val="left"/>
              <w:rPr>
                <w:rFonts w:hint="eastAsia" w:asciiTheme="minorEastAsia" w:hAnsiTheme="minorEastAsia" w:eastAsiaTheme="minorEastAsia" w:cstheme="minorEastAsia"/>
                <w:kern w:val="0"/>
                <w:sz w:val="24"/>
              </w:rPr>
            </w:pP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地址：</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检查时间：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bookmarkStart w:id="3" w:name="_GoBack"/>
            <w:bookmarkEnd w:id="3"/>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adjustRightInd w:val="0"/>
              <w:snapToGrid w:val="0"/>
              <w:spacing w:line="400" w:lineRule="exact"/>
              <w:ind w:firstLine="5040" w:firstLineChars="2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bookmarkEnd w:id="0"/>
    <w:bookmarkEnd w:id="1"/>
    <w:bookmarkEnd w:id="2"/>
    <w:p>
      <w:pPr>
        <w:adjustRightInd w:val="0"/>
        <w:snapToGrid w:val="0"/>
        <w:spacing w:line="580" w:lineRule="exact"/>
        <w:jc w:val="center"/>
        <w:rPr>
          <w:rFonts w:hint="eastAsia" w:ascii="方正小标宋简体" w:hAnsi="Calibri" w:eastAsia="方正小标宋简体"/>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kern w:val="2"/>
          <w:sz w:val="44"/>
          <w:szCs w:val="36"/>
          <w:lang w:eastAsia="zh-CN" w:bidi="ar-SA"/>
        </w:rPr>
        <w:t>食品销售监督检查要点表</w:t>
      </w:r>
    </w:p>
    <w:p>
      <w:pPr>
        <w:adjustRightInd w:val="0"/>
        <w:snapToGrid w:val="0"/>
        <w:spacing w:line="480" w:lineRule="exact"/>
        <w:jc w:val="center"/>
        <w:rPr>
          <w:rFonts w:ascii="Calibri" w:hAnsi="Calibri" w:eastAsia="楷体_GB2312"/>
          <w:kern w:val="2"/>
          <w:sz w:val="28"/>
          <w:szCs w:val="28"/>
          <w:lang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食品通用检查项目：重点项（*）</w:t>
      </w:r>
      <w:r>
        <w:rPr>
          <w:rFonts w:hint="eastAsia" w:ascii="宋体" w:hAnsi="宋体" w:eastAsia="宋体" w:cs="宋体"/>
          <w:kern w:val="2"/>
          <w:sz w:val="24"/>
          <w:szCs w:val="24"/>
          <w:lang w:val="en-US" w:eastAsia="zh-CN" w:bidi="ar-SA"/>
        </w:rPr>
        <w:t>38</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41</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食品其他检查项目：重点项（*）</w:t>
      </w:r>
      <w:r>
        <w:rPr>
          <w:rFonts w:hint="eastAsia" w:ascii="宋体" w:hAnsi="宋体" w:eastAsia="宋体" w:cs="宋体"/>
          <w:kern w:val="2"/>
          <w:sz w:val="24"/>
          <w:szCs w:val="24"/>
          <w:lang w:val="en-US" w:eastAsia="zh-CN" w:bidi="ar-SA"/>
        </w:rPr>
        <w:t>12</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相关主体检查项目：重点项（*）</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eastAsia="zh-CN" w:bidi="ar-SA"/>
        </w:rPr>
        <w:t>项。</w:t>
      </w:r>
    </w:p>
    <w:tbl>
      <w:tblPr>
        <w:tblStyle w:val="7"/>
        <w:tblW w:w="13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04"/>
        <w:gridCol w:w="9061"/>
        <w:gridCol w:w="129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014" w:type="dxa"/>
            <w:gridSpan w:val="5"/>
            <w:noWrap w:val="0"/>
            <w:vAlign w:val="center"/>
          </w:tcPr>
          <w:p>
            <w:pPr>
              <w:widowControl/>
              <w:adjustRightInd w:val="0"/>
              <w:snapToGrid w:val="0"/>
              <w:jc w:val="center"/>
              <w:rPr>
                <w:rFonts w:hint="eastAsia" w:ascii="黑体" w:hAnsi="黑体" w:eastAsia="黑体" w:cs="黑体"/>
                <w:b/>
                <w:bCs/>
                <w:color w:val="000000"/>
                <w:kern w:val="0"/>
                <w:sz w:val="24"/>
                <w:szCs w:val="24"/>
                <w:lang w:eastAsia="zh-CN" w:bidi="ar-SA"/>
              </w:rPr>
            </w:pPr>
            <w:r>
              <w:rPr>
                <w:rFonts w:hint="eastAsia" w:ascii="黑体" w:hAnsi="黑体" w:eastAsia="黑体" w:cs="黑体"/>
                <w:kern w:val="2"/>
                <w:sz w:val="24"/>
                <w:szCs w:val="24"/>
                <w:lang w:eastAsia="zh-CN" w:bidi="ar-SA"/>
              </w:rPr>
              <w:t>食品通用检查项目（</w:t>
            </w:r>
            <w:r>
              <w:rPr>
                <w:rFonts w:hint="eastAsia" w:ascii="黑体" w:hAnsi="黑体" w:eastAsia="黑体" w:cs="黑体"/>
                <w:kern w:val="2"/>
                <w:sz w:val="24"/>
                <w:szCs w:val="24"/>
                <w:lang w:val="en-US" w:eastAsia="zh-CN" w:bidi="ar-SA"/>
              </w:rPr>
              <w:t>79</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50"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662"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363"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59"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1.食品安全自查</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具有食品安全自查制度。</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按照自查制度规定，定期对食品安全状况进行检查评价。</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经营条件发生变化或自查发现问题，不符合食品安全要求的，立即采取措施整改。</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自查发现食品安全事故潜在风险时，立即停止经营活动，并向所在地县级市场监管部门报告。</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2.食品安全追溯体系</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具有食品安全追溯体系，按照法律法规规定如实记录并保存进货查验、食品销售等信息，保证食品可追溯。</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3.许可及备案</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食品经营许可证合法有效。</w:t>
            </w:r>
          </w:p>
        </w:tc>
        <w:tc>
          <w:tcPr>
            <w:tcW w:w="1363"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仅销售预包装食品的食品经营者依法进行备案。</w:t>
            </w:r>
          </w:p>
        </w:tc>
        <w:tc>
          <w:tcPr>
            <w:tcW w:w="1363"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实际经营事项与仅销售预包装食品备案信息采集表中相关内容相符。</w:t>
            </w:r>
          </w:p>
        </w:tc>
        <w:tc>
          <w:tcPr>
            <w:tcW w:w="1363"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在经营场所显著位置公示食品经营许可证正本，或以电子形式公示。</w:t>
            </w:r>
          </w:p>
        </w:tc>
        <w:tc>
          <w:tcPr>
            <w:tcW w:w="1363" w:type="dxa"/>
            <w:noWrap w:val="0"/>
            <w:vAlign w:val="center"/>
          </w:tcPr>
          <w:p>
            <w:pPr>
              <w:spacing w:line="420" w:lineRule="exact"/>
              <w:ind w:left="-9"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val="en-US" w:eastAsia="zh-CN" w:bidi="ar-SA"/>
              </w:rPr>
            </w:pPr>
          </w:p>
        </w:tc>
      </w:tr>
    </w:tbl>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tbl>
      <w:tblPr>
        <w:tblStyle w:val="7"/>
        <w:tblW w:w="13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9"/>
        <w:gridCol w:w="9067"/>
        <w:gridCol w:w="128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9669" w:type="dxa"/>
            <w:noWrap w:val="0"/>
            <w:vAlign w:val="center"/>
          </w:tcPr>
          <w:p>
            <w:pPr>
              <w:spacing w:before="0" w:line="36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362"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未发现法律法规规定的禁止性行为：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①伪造、涂改、倒卖、出租、出借、转让许可证或备案编号。</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②未获得许可或取得备案，开展食品销售活动。</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③超出许可经营项目范围开展销售活动。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4.场所及布局</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与有毒、有害场所以及其他污染源保持规定的距离。</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具有与销售的食品品种、数量相适应的贮存、销售等场所。</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保持场所环境整洁卫生。</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具有合理的设备布局和工艺流程，避免食品接触有毒物、不洁物，防止交叉污染。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进口冷链食品应当专用通道进货、专区存放、专区销售，不得与其他食品混放贮存和销售。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5.设施设备</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具有与销售的食品品种、数量相适应的设施设备，配备相应的消毒、更衣、盥洗、采光、照明、通风、防腐、防尘、防蝇、防鼠、防虫、洗涤以及处理废水、存放垃圾和废弃物的设施设备。</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用水应当符合国家规定的生活饮用水卫生标准。</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使用的洗涤剂、消毒剂应当对人体安全、无害。</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jc w:val="center"/>
        </w:trPr>
        <w:tc>
          <w:tcPr>
            <w:tcW w:w="109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6.禁止销售的食品</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w:t>
            </w:r>
          </w:p>
        </w:tc>
        <w:tc>
          <w:tcPr>
            <w:tcW w:w="9669" w:type="dxa"/>
            <w:noWrap w:val="0"/>
            <w:vAlign w:val="center"/>
          </w:tcPr>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未发现法律法规禁止销售的食品：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（一）用非食品原料生产的食品或者添加食品添加剂以外的化学物质和其他可能危害人体健康物质的食品，或者用回收食品作为原料生产的食品；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（二）致病性微生物，农药残留、兽药残留、生物毒素、重金属等污染物质以及其他危害人体健康的物质含量超过食品安全标准限量的食品、食品添加剂、食品相关产品；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（三）用超过保质期的食品原料、食品添加剂生产的食品、食品添加剂；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（四）超范围、超限量使用食品添加剂的食品；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（五）营养成分不符合食品安全标准的专供婴幼儿和其他特定人群的主辅食品；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（六）腐败变质、油脂酸败、霉变生虫、污秽不洁、混有异物、掺假掺杂或者感官性状异常的食品、食品添加剂；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（七）病死、毒死或者死因不明的禽、畜、兽、水产动物肉类及其制品；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（八）未按规定进行检疫或者检疫不合格的肉类，或者未经检验或者检验不合格的肉类制品；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（九）被包装材料、容器、运输工具等污染的食品、食品添加剂；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（十）标注虚假生产日期、保质期或者超过保质期的食品、食品添加剂；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（十一）无标签的预包装食品、食品添加剂；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（十二）国家为防病等特殊需要明令禁止生产经营的食品；</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（十三）其他不符合法律、法规或者食品安全标准的食品、食品添加剂、食品相关产品。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7.食品安全管理制度</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具有食品安全管理制度。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kern w:val="2"/>
                <w:sz w:val="24"/>
                <w:szCs w:val="24"/>
                <w:lang w:val="en-US"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对职工开展食品安全知识培训。</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加强食品检验工作。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8.人员管理</w:t>
            </w:r>
          </w:p>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企业主要负责人落实企业食品安全管理制度，对本企业的食品安全工作全面负责。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配备食品安全管理人员，对其开展培训和考核。</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食品安全管理人员经考核并具备食品安全管理能力。</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食品安全管理人员接受食品安全监管部门监督抽查考核，考核情况公布。</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具有从业人员健康管理制度。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从事接触直接入口食品工作的人员应当每年进行健康体检，取得健康证明后方可上岗工作。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患有国务院卫生行政部门规定的有碍食品安全疾病的人员，未从事接触直接入口食品的工作。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未发现法律法规规定的禁止从业行为：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②因食品安全犯罪被判处有期徒刑以上刑罚的，从事食品销售管理工作，担任食品销售企业食品安全管理人员。</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9.标签、</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预包装食品包装上有标签。标签标明的内容符合法律、法规以及食品安全标准规定的各类事项。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标签、说明书清楚、明显，生产日期、保质期等事项显著标注，容易辨识。转基因食品按照规定显著标示。</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①标签、说明书有虚假内容，涉及疾病预防、治疗功能；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②食品和食品添加剂与其标签、说明书的内容不符；</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③对保健食品之外的其他食品，声称具有保健功能；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④进口的预包装食品没有中文标签、中文说明书或者标签、说明书不符合法律法规标准相关规定。</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4" w:type="dxa"/>
            <w:vMerge w:val="restart"/>
            <w:noWrap w:val="0"/>
            <w:vAlign w:val="center"/>
          </w:tcPr>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10.温度</w:t>
            </w:r>
          </w:p>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具有冷藏冷冻食品全程温度记录制度。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配备与冷藏冷冻食品品种、数量相适应的冷藏冷冻设施设备。</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按照标签标示或相关标准的温度、湿度等要求销售、贮存、运输冷藏冷冻食品及其他有温度、湿度等要求的食品。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11.购销</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具有食品进货查验记录制度。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具有食品销售记录制度。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从事食品批发业务的经营企业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销售的无包装直接入口食品，使用无毒、清洁的包装材料、容器、售货工具和设备，配备有效的防虫、防蝇、防鼠设施。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销售的散装食品，在容器、外包装上标明食品的名称、成分或配料表、生产日期或者生产批号、保质期以及生产经营者名称、地址、联系方式等内容。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*11.9</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销售的散装食品标注的生产日期与生产者在出厂时标注的生产日期一致。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11.10</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包装或分装食品的包装材料和容器无毒、无害、无异味，并符合国家相关法律法规及标准的要求。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包装或分装的食品 , 未更改原有的生产日期，未延长保质期。</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食品与非食品、生食与熟食的盛放容器未混用。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普通食品未与特殊食品、药品混放销售。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临近保质期的食品分类管理，作特别标示或者集中陈列出售。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在销售场所显著位置设置不向未成年人销售酒的标志。</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酒类经营者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未向未成年人销售酒。</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经营场所食品广告或宣传的内容真实合法。未发现含有虚假内容，未发现涉及疾病预防、治疗功能。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未发现利用包括会议、讲座、健康咨询在内的任何方式对食品进行虚假宣传；未发现编造、散布虚假食品安全信息。</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12.贮存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经营场所外设置仓库（包括自有和租赁）的，向发证地市场监管部门报告，副本上载明仓库具体地址。外设仓库地址发生变化的，在变化后10个工作日内向原发证的市场监管部门报告。</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贮存食品的容器、工具和设备安全、无害，保持清洁，防止食品污染，并符合保证食品安全所需的温度、湿度等特殊要求。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在散装食品贮存位置标明食品的名称、生产日期或者生产批号、保质期、生产者名称及联系方式等内容。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按照保证食品安全的要求贮存食品，定期检查库存食品，及时清理变质或者超过保质期的食品。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食品与非食品、生食与熟食的贮存容器未混用。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未发现食品与有毒、有害物品一同贮存。</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接受委托贮存食品的，</w:t>
            </w: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13.运输</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运输和装卸食品的容器、工具和设备安全、无害、保持清洁，防止食品污染。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未发现食品与有毒、有害物品一同运输。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委托运输食品的，选择具有合法资质的运输服务提供者，查验其食品安全保障能力，监督其按照保证食品安全的要求运输食品。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14.食品</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召回</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对召回的食品采取无害化处理、销毁等措施，防止其再次流入市场。</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对因标签、标志或者说明书不符合食品安全标准而被召回的食品，食品生产者在采取补救措施且能保证食品安全的情况下可以继续销售；销售时向消费者明示补救措施。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食品召回和处理情况向所在地县级市场监管部门报告；需要对召回的食品进行无害化处理、销毁的，提前报告时间、地点。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15.委托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委托取得食品生产许可、食品添加剂生产许可的生产者生产，审查其生产资质，留存相关证明文件。</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对委托生产者生产行为进行监督，对委托生产的食品、食品添加剂的安全负责。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16.食品安全事故处置</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具有食品安全事故处置方案。</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w:t>
            </w:r>
          </w:p>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定期检查本企业各项食品安全防范措施的落实情况，及时消除事故隐患。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17.其他</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检查结果对消费者有重要影响的，在经营场所醒目位置张贴或者公开展示监督检查结果记录表，并保持至下次监督检查。</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监督检查结果、市场监管部门约谈经营者情况和经营者整改情况记入食品经营者食品安全信用档案。对存在严重违法失信行为的，按照规定实施联合惩戒。</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检查结果信息形成后20个工作日内向社会公开。</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014" w:type="dxa"/>
            <w:gridSpan w:val="5"/>
            <w:noWrap w:val="0"/>
            <w:vAlign w:val="center"/>
          </w:tcPr>
          <w:p>
            <w:pPr>
              <w:ind w:left="-11"/>
              <w:jc w:val="center"/>
              <w:rPr>
                <w:rFonts w:hint="eastAsia" w:ascii="宋体" w:hAnsi="宋体" w:eastAsia="宋体" w:cs="宋体"/>
                <w:kern w:val="2"/>
                <w:sz w:val="24"/>
                <w:szCs w:val="24"/>
                <w:lang w:eastAsia="zh-CN" w:bidi="ar-SA"/>
              </w:rPr>
            </w:pPr>
            <w:r>
              <w:rPr>
                <w:rFonts w:hint="eastAsia" w:ascii="黑体" w:hAnsi="黑体" w:eastAsia="黑体" w:cs="黑体"/>
                <w:b w:val="0"/>
                <w:bCs w:val="0"/>
                <w:kern w:val="2"/>
                <w:sz w:val="24"/>
                <w:szCs w:val="24"/>
                <w:lang w:eastAsia="zh-CN" w:bidi="ar-SA"/>
              </w:rPr>
              <w:t>食品其他检查项目（</w:t>
            </w:r>
            <w:r>
              <w:rPr>
                <w:rFonts w:hint="eastAsia" w:ascii="黑体" w:hAnsi="黑体" w:eastAsia="黑体" w:cs="黑体"/>
                <w:b w:val="0"/>
                <w:bCs w:val="0"/>
                <w:kern w:val="2"/>
                <w:sz w:val="24"/>
                <w:szCs w:val="24"/>
                <w:lang w:val="en-US" w:eastAsia="zh-CN" w:bidi="ar-SA"/>
              </w:rPr>
              <w:t>17</w:t>
            </w:r>
            <w:r>
              <w:rPr>
                <w:rFonts w:hint="eastAsia" w:ascii="黑体" w:hAnsi="黑体" w:eastAsia="黑体" w:cs="黑体"/>
                <w:b w:val="0"/>
                <w:bCs w:val="0"/>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3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66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362"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55"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18.食用</w:t>
            </w:r>
          </w:p>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农产品</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具有食用农产品进货查验记录制度。</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如实记录所采购的食用农产品的名称、数量、进货日期以及供货者名称、地址、联系方式等内容，并保存相关凭证。记录和凭证保存期限不得少于六个月。</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经营的肉类按规定具有检疫合格证明和</w:t>
            </w:r>
            <w:r>
              <w:rPr>
                <w:rFonts w:hint="eastAsia" w:ascii="宋体" w:hAnsi="宋体" w:eastAsia="宋体" w:cs="宋体"/>
                <w:i w:val="0"/>
                <w:iCs w:val="0"/>
                <w:color w:val="000000"/>
                <w:kern w:val="2"/>
                <w:sz w:val="24"/>
                <w:szCs w:val="24"/>
                <w:u w:val="none"/>
                <w:lang w:val="en-US" w:eastAsia="zh-CN" w:bidi="ar"/>
              </w:rPr>
              <w:t>肉品品质检验合格证明</w:t>
            </w:r>
            <w:r>
              <w:rPr>
                <w:rFonts w:hint="eastAsia" w:ascii="宋体" w:hAnsi="宋体" w:eastAsia="宋体" w:cs="宋体"/>
                <w:kern w:val="2"/>
                <w:sz w:val="24"/>
                <w:szCs w:val="24"/>
                <w:lang w:val="en-US" w:eastAsia="zh-CN" w:bidi="ar-SA"/>
              </w:rPr>
              <w:t>。</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94"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19.特殊</w:t>
            </w:r>
          </w:p>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食品</w:t>
            </w: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*19.2</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*19.3</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进口特殊食品应该有中文标签且必须印制在最小销售包装上，不得加贴。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*19.4</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*19.5</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医疗机构和药品零售企业之外的经营者未销售特定全营养配方食品。</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19.6</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19.7</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对距离保质期不足一个月的婴幼儿配方乳粉采取醒目提示或者提前下架等措施。</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*19.8</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未发现通过健康咨询、宣传资料等任何方式虚假夸大宣传特殊食品。</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*19.9</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不得宣传声称婴儿配方食品全部或者部分替代母乳。</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*19.10</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保健食品、特殊医学用途配方食品的广告应经广告审查部门审查批准，取得广告批准文件，并与批准内容相一致。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19.11</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不得对0-12个月龄婴儿食用的婴儿配方食品进行广告宣传。</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*19.12</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网络销售特殊食品的销售主页相关信息应当与产品注册证书或备案凭证、广告审查批准等信息相一致，销售页面刊载内容不得涉及疾病预防、治疗功能等禁止标志内容。</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*19.13</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*19.14</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特定全营养配方食品不得进行网络交易。</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014" w:type="dxa"/>
            <w:gridSpan w:val="5"/>
            <w:noWrap w:val="0"/>
            <w:vAlign w:val="center"/>
          </w:tcPr>
          <w:p>
            <w:pPr>
              <w:ind w:left="-11" w:leftChars="0"/>
              <w:jc w:val="center"/>
              <w:rPr>
                <w:rFonts w:hint="eastAsia" w:ascii="宋体" w:hAnsi="宋体" w:eastAsia="宋体" w:cs="宋体"/>
                <w:b/>
                <w:bCs/>
                <w:color w:val="000000"/>
                <w:kern w:val="0"/>
                <w:sz w:val="24"/>
                <w:szCs w:val="24"/>
                <w:lang w:eastAsia="zh-CN" w:bidi="ar-SA"/>
              </w:rPr>
            </w:pPr>
            <w:r>
              <w:rPr>
                <w:rFonts w:hint="eastAsia" w:ascii="黑体" w:hAnsi="黑体" w:eastAsia="黑体" w:cs="黑体"/>
                <w:kern w:val="2"/>
                <w:sz w:val="24"/>
                <w:szCs w:val="24"/>
                <w:lang w:eastAsia="zh-CN" w:bidi="ar-SA"/>
              </w:rPr>
              <w:t>相关主体检查项目（</w:t>
            </w:r>
            <w:r>
              <w:rPr>
                <w:rFonts w:hint="eastAsia" w:ascii="黑体" w:hAnsi="黑体" w:eastAsia="黑体" w:cs="黑体"/>
                <w:kern w:val="2"/>
                <w:sz w:val="24"/>
                <w:szCs w:val="24"/>
                <w:lang w:val="en-US" w:eastAsia="zh-CN" w:bidi="ar-SA"/>
              </w:rPr>
              <w:t>15</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34"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序号</w:t>
            </w:r>
          </w:p>
        </w:tc>
        <w:tc>
          <w:tcPr>
            <w:tcW w:w="9669"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检  查  内  容</w:t>
            </w:r>
          </w:p>
        </w:tc>
        <w:tc>
          <w:tcPr>
            <w:tcW w:w="1362"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评价</w:t>
            </w:r>
          </w:p>
        </w:tc>
        <w:tc>
          <w:tcPr>
            <w:tcW w:w="955"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20.集中交易市场开办者、柜台出租者和展销会举办者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食品集中交易市场开办者、食品展销会举办者在市场开业或者展销会举办前向所在地县级市场监管部门书面报告。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食品集中交易市场的开办者、柜台出租者和展销会举办者，审查入场食品经营者的许可证（或仅销售预包装食品备案信息采集表），明确其食品安全管理责任。 </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定期对入场食品经营者经营环境和条件进行检查。</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发现入场食品经营者有违反食品安全法规定的行为，及时制止并立即报告所在地县级市场监管部门。</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食用农产品批发市场配备检验设备和检验人员或者委托符合食品安全法规定的食品检验机构，对进入该批发市场销售的食用农产品进行抽样检验。 </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食用农产品批发市场开办者发现不符合食品安全标准的食用农产品时，要求销售者立即停止销售，并向市场监管部门报告。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21.网络食品交易第三方平台提供者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在通信主管部门批准后30个工作日内向所在地省级市场监管部门备案并取得备案号。</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具有食品安全相关制度，明确入网食品销售者食品安全管理责任，并在网络平台公开。</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设置专门的网络食品安全管理机构或者指定专职食品安全管理人员。</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建立入网食品销售者档案，对入网食品销售者进行实名登记，并对其食品经营许可证或仅销售预包装食品备案信息采集表等材料进行审查。</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对平台上的食品经营行为及信息进行检查。发现存在食品安全违法行为，及时制止，并向所在地县级市场监管部门报告。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22.从事食品贮存业务的非食品生产经营者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从事冷藏冷冻食品贮存业务的，自取得营业执照之日起30个工作日内向所在地县级市场监管部门备案。</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保证食品贮存条件符合食品安全的要求，加强食品贮存过程管理。</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w:t>
            </w:r>
          </w:p>
        </w:tc>
        <w:tc>
          <w:tcPr>
            <w:tcW w:w="9669"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tc>
        <w:tc>
          <w:tcPr>
            <w:tcW w:w="9669"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场所环境及设施设备等符合相关要求，具体见食品通用检查相关项目。</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014" w:type="dxa"/>
            <w:gridSpan w:val="5"/>
            <w:noWrap w:val="0"/>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0"/>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tc>
      </w:tr>
    </w:tbl>
    <w:p>
      <w:pPr>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说明：</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.如果检查项目存在合理缺项，该项无需勾选“是”与“否”，并在备注中说明，不计入否项数。</w:t>
      </w:r>
    </w:p>
    <w:p>
      <w:pPr>
        <w:jc w:val="both"/>
        <w:rPr>
          <w:rFonts w:hint="eastAsia"/>
          <w:lang w:val="en-US" w:eastAsia="zh-CN"/>
        </w:rPr>
        <w:sectPr>
          <w:footerReference r:id="rId5" w:type="default"/>
          <w:footerReference r:id="rId6" w:type="even"/>
          <w:pgSz w:w="16840" w:h="11900" w:orient="landscape"/>
          <w:pgMar w:top="1619" w:right="2056" w:bottom="1626" w:left="1873" w:header="0" w:footer="3" w:gutter="0"/>
          <w:pgBorders>
            <w:top w:val="none" w:sz="0" w:space="0"/>
            <w:left w:val="none" w:sz="0" w:space="0"/>
            <w:bottom w:val="none" w:sz="0" w:space="0"/>
            <w:right w:val="none" w:sz="0" w:space="0"/>
          </w:pgBorders>
          <w:pgNumType w:fmt="numberInDash" w:start="1"/>
          <w:cols w:space="720" w:num="1"/>
          <w:docGrid w:linePitch="360" w:charSpace="0"/>
        </w:sectPr>
      </w:pPr>
      <w:r>
        <w:rPr>
          <w:rFonts w:hint="eastAsia" w:ascii="宋体" w:hAnsi="宋体" w:eastAsia="宋体" w:cs="宋体"/>
          <w:kern w:val="2"/>
          <w:sz w:val="24"/>
          <w:szCs w:val="24"/>
          <w:lang w:val="en-US" w:eastAsia="zh-CN" w:bidi="ar-SA"/>
        </w:rPr>
        <w:t xml:space="preserve">      2.检查具体要求可参考《食品销售安全监督检查指南》《特殊食品安全销售监督检查指南》。</w:t>
      </w:r>
    </w:p>
    <w:p>
      <w:pPr>
        <w:adjustRightInd/>
        <w:snapToGrid/>
        <w:spacing w:line="240" w:lineRule="auto"/>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 xml:space="preserve">2-2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749"/>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291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291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291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szCs w:val="21"/>
              </w:rPr>
            </w:pPr>
            <w:r>
              <w:rPr>
                <w:rFonts w:hint="eastAsia" w:ascii="宋体" w:hAnsi="宋体"/>
                <w:szCs w:val="21"/>
                <w:u w:val="single"/>
              </w:rPr>
              <w:t>（</w:t>
            </w:r>
            <w:r>
              <w:rPr>
                <w:rFonts w:hint="eastAsia" w:ascii="宋体" w:hAnsi="宋体"/>
                <w:szCs w:val="21"/>
                <w:u w:val="single"/>
                <w:lang w:eastAsia="zh-CN"/>
              </w:rPr>
              <w:t>市场监督</w:t>
            </w:r>
            <w:r>
              <w:rPr>
                <w:rFonts w:hint="eastAsia" w:ascii="宋体" w:hAnsi="宋体"/>
                <w:szCs w:val="21"/>
                <w:u w:val="single"/>
              </w:rPr>
              <w:t xml:space="preserve">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r>
              <w:rPr>
                <w:rFonts w:hint="eastAsia" w:ascii="宋体" w:hAnsi="宋体" w:eastAsia="宋体" w:cs="宋体"/>
                <w:sz w:val="28"/>
                <w:szCs w:val="28"/>
              </w:rPr>
              <w:sym w:font="Wingdings 2" w:char="00A3"/>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飞行检查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仿宋_GB2312" w:hAnsi="仿宋_GB2312" w:eastAsia="仿宋_GB2312" w:cs="仿宋_GB2312"/>
                <w:sz w:val="28"/>
                <w:szCs w:val="28"/>
              </w:rPr>
              <w:sym w:font="Wingdings 2" w:char="00A3"/>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0"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8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0" w:leftChars="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4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80" w:leftChars="100" w:hanging="24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4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4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lang w:eastAsia="zh-CN"/>
              </w:rPr>
            </w:pPr>
            <w:r>
              <w:rPr>
                <w:rFonts w:hint="eastAsia" w:ascii="宋体"/>
                <w:szCs w:val="21"/>
                <w:lang w:eastAsia="zh-CN"/>
              </w:rPr>
              <w:t>检查</w:t>
            </w:r>
            <w:r>
              <w:rPr>
                <w:rFonts w:hint="eastAsia" w:ascii="宋体"/>
                <w:szCs w:val="21"/>
              </w:rPr>
              <w:t>人员（签名）：</w:t>
            </w:r>
          </w:p>
          <w:p>
            <w:pPr>
              <w:spacing w:line="420" w:lineRule="atLeast"/>
              <w:jc w:val="left"/>
              <w:rPr>
                <w:rFonts w:hAnsi="宋体"/>
                <w:szCs w:val="21"/>
              </w:rPr>
            </w:pPr>
            <w:r>
              <w:rPr>
                <w:rFonts w:hint="eastAsia" w:ascii="宋体"/>
                <w:szCs w:val="21"/>
                <w:lang w:eastAsia="zh-CN"/>
              </w:rPr>
              <w:t>检查（执法）证件编号：</w:t>
            </w: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ascii="宋体" w:hAnsi="宋体"/>
                <w:szCs w:val="21"/>
              </w:rPr>
            </w:pPr>
            <w:r>
              <w:rPr>
                <w:rFonts w:hint="eastAsia" w:ascii="宋体" w:hAnsi="宋体"/>
                <w:szCs w:val="21"/>
                <w:lang w:val="en-US" w:eastAsia="zh-CN"/>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2" w:hRule="atLeast"/>
          <w:jc w:val="center"/>
        </w:trPr>
        <w:tc>
          <w:tcPr>
            <w:tcW w:w="9655"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val="0"/>
                <w:bCs w:val="0"/>
                <w:szCs w:val="21"/>
                <w:lang w:eastAsia="zh-CN"/>
              </w:rPr>
              <w:t>）</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spacing w:line="240" w:lineRule="auto"/>
        <w:ind w:firstLine="0" w:firstLineChars="0"/>
        <w:jc w:val="both"/>
        <w:rPr>
          <w:rFonts w:hint="eastAsia"/>
          <w:lang w:val="en-US" w:eastAsia="zh-CN"/>
        </w:rPr>
      </w:pPr>
    </w:p>
    <w:sectPr>
      <w:pgSz w:w="11900" w:h="16840"/>
      <w:pgMar w:top="2058" w:right="1626" w:bottom="1871" w:left="1619" w:header="0" w:footer="6" w:gutter="0"/>
      <w:paperSrc/>
      <w:pgBorders>
        <w:top w:val="none" w:sz="0" w:space="0"/>
        <w:left w:val="none" w:sz="0" w:space="0"/>
        <w:bottom w:val="none" w:sz="0" w:space="0"/>
        <w:right w:val="none" w:sz="0" w:space="0"/>
      </w:pgBorders>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0;nN0q0QAAAAQBAAAPAAAAAAAAAAEAIAAAACIAAABkcnMvZG93bnJldi54bWxQSwECFAAUAAAACACH&#10;TuJA7MXN7LkBAACXAwAADgAAAAAAAAABACAAAAAgAQAAZHJzL2Uyb0RvYy54bWxQSwUGAAAAAAYA&#10;BgBZAQAASwUAAAAA&#10;">
              <v:fill on="f" focussize="0,0"/>
              <v:stroke on="f"/>
              <v:imagedata o:title=""/>
              <o:lock v:ext="edit" aspectratio="f"/>
              <v:textbox inset="0mm,0mm,0mm,0mm" style="mso-fit-shape-to-text:t;">
                <w:txbxContent>
                  <w:p>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qS59EAAAAEAQAADwAAAAAAAAABACAAAAAiAAAAZHJzL2Rvd25yZXYueG1sUEsBAhQAFAAAAAgA&#10;h07iQLFX/hG6AQAAlwMAAA4AAAAAAAAAAQAgAAAAIAEAAGRycy9lMm9Eb2MueG1sUEsFBgAAAAAG&#10;AAYAWQEAAEwFAAAAAA==&#10;">
              <v:fill on="f" focussize="0,0"/>
              <v:stroke on="f"/>
              <v:imagedata o:title=""/>
              <o:lock v:ext="edit" aspectratio="f"/>
              <v:textbox inset="0mm,0mm,0mm,0mm" style="mso-fit-shape-to-text:t;">
                <w:txbxContent>
                  <w:p>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4D103C6"/>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9E66E3B"/>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53191B"/>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580660"/>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D0B58"/>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Date"/>
    <w:basedOn w:val="1"/>
    <w:next w:val="1"/>
    <w:qFormat/>
    <w:uiPriority w:val="99"/>
    <w:pPr>
      <w:ind w:left="100" w:leftChars="2500"/>
    </w:pPr>
  </w:style>
  <w:style w:type="paragraph" w:styleId="4">
    <w:name w:val="footer"/>
    <w:basedOn w:val="1"/>
    <w:link w:val="35"/>
    <w:qFormat/>
    <w:uiPriority w:val="0"/>
    <w:pPr>
      <w:tabs>
        <w:tab w:val="center" w:pos="4153"/>
        <w:tab w:val="right" w:pos="8306"/>
      </w:tabs>
      <w:snapToGrid w:val="0"/>
    </w:pPr>
    <w:rPr>
      <w:sz w:val="18"/>
      <w:szCs w:val="18"/>
    </w:rPr>
  </w:style>
  <w:style w:type="paragraph" w:styleId="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or footer|2_"/>
    <w:basedOn w:val="9"/>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9"/>
    <w:link w:val="13"/>
    <w:qFormat/>
    <w:uiPriority w:val="0"/>
    <w:rPr>
      <w:rFonts w:ascii="宋体" w:hAnsi="宋体" w:eastAsia="宋体" w:cs="宋体"/>
      <w:color w:val="232323"/>
      <w:sz w:val="28"/>
      <w:szCs w:val="28"/>
      <w:u w:val="none"/>
      <w:shd w:val="clear" w:color="auto" w:fill="auto"/>
      <w:lang w:val="zh-TW" w:eastAsia="zh-TW" w:bidi="zh-TW"/>
    </w:rPr>
  </w:style>
  <w:style w:type="paragraph" w:customStyle="1" w:styleId="13">
    <w:name w:val="Body text|1"/>
    <w:basedOn w:val="1"/>
    <w:link w:val="12"/>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4">
    <w:name w:val="Heading #1|1_"/>
    <w:basedOn w:val="9"/>
    <w:link w:val="15"/>
    <w:qFormat/>
    <w:uiPriority w:val="0"/>
    <w:rPr>
      <w:rFonts w:ascii="宋体" w:hAnsi="宋体" w:eastAsia="宋体" w:cs="宋体"/>
      <w:sz w:val="38"/>
      <w:szCs w:val="38"/>
      <w:u w:val="none"/>
      <w:shd w:val="clear" w:color="auto" w:fill="auto"/>
      <w:lang w:val="zh-TW" w:eastAsia="zh-TW" w:bidi="zh-TW"/>
    </w:rPr>
  </w:style>
  <w:style w:type="paragraph" w:customStyle="1" w:styleId="15">
    <w:name w:val="Heading #1|1"/>
    <w:basedOn w:val="1"/>
    <w:link w:val="14"/>
    <w:qFormat/>
    <w:uiPriority w:val="0"/>
    <w:pPr>
      <w:spacing w:after="360"/>
      <w:jc w:val="center"/>
      <w:outlineLvl w:val="0"/>
    </w:pPr>
    <w:rPr>
      <w:rFonts w:ascii="宋体" w:hAnsi="宋体" w:eastAsia="宋体" w:cs="宋体"/>
      <w:sz w:val="38"/>
      <w:szCs w:val="38"/>
      <w:lang w:val="zh-TW" w:eastAsia="zh-TW" w:bidi="zh-TW"/>
    </w:rPr>
  </w:style>
  <w:style w:type="character" w:customStyle="1" w:styleId="16">
    <w:name w:val="Heading #2|1_"/>
    <w:basedOn w:val="9"/>
    <w:link w:val="17"/>
    <w:qFormat/>
    <w:uiPriority w:val="0"/>
    <w:rPr>
      <w:rFonts w:ascii="宋体" w:hAnsi="宋体" w:eastAsia="宋体" w:cs="宋体"/>
      <w:b/>
      <w:bCs/>
      <w:sz w:val="28"/>
      <w:szCs w:val="28"/>
      <w:u w:val="none"/>
      <w:shd w:val="clear" w:color="auto" w:fill="auto"/>
      <w:lang w:val="zh-TW" w:eastAsia="zh-TW" w:bidi="zh-TW"/>
    </w:rPr>
  </w:style>
  <w:style w:type="paragraph" w:customStyle="1" w:styleId="17">
    <w:name w:val="Heading #2|1"/>
    <w:basedOn w:val="1"/>
    <w:link w:val="16"/>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8">
    <w:name w:val="Body text|5_"/>
    <w:basedOn w:val="9"/>
    <w:link w:val="19"/>
    <w:qFormat/>
    <w:uiPriority w:val="0"/>
    <w:rPr>
      <w:u w:val="none"/>
      <w:shd w:val="clear" w:color="auto" w:fill="auto"/>
      <w:lang w:val="zh-TW" w:eastAsia="zh-TW" w:bidi="zh-TW"/>
    </w:rPr>
  </w:style>
  <w:style w:type="paragraph" w:customStyle="1" w:styleId="19">
    <w:name w:val="Body text|5"/>
    <w:basedOn w:val="1"/>
    <w:link w:val="18"/>
    <w:qFormat/>
    <w:uiPriority w:val="0"/>
    <w:pPr>
      <w:spacing w:after="120"/>
      <w:ind w:firstLine="260"/>
    </w:pPr>
    <w:rPr>
      <w:lang w:val="zh-TW" w:eastAsia="zh-TW" w:bidi="zh-TW"/>
    </w:rPr>
  </w:style>
  <w:style w:type="character" w:customStyle="1" w:styleId="20">
    <w:name w:val="Body text|4_"/>
    <w:basedOn w:val="9"/>
    <w:link w:val="21"/>
    <w:qFormat/>
    <w:uiPriority w:val="0"/>
    <w:rPr>
      <w:rFonts w:ascii="宋体" w:hAnsi="宋体" w:eastAsia="宋体" w:cs="宋体"/>
      <w:color w:val="232323"/>
      <w:sz w:val="18"/>
      <w:szCs w:val="18"/>
      <w:u w:val="none"/>
      <w:shd w:val="clear" w:color="auto" w:fill="auto"/>
      <w:lang w:val="zh-TW" w:eastAsia="zh-TW" w:bidi="zh-TW"/>
    </w:rPr>
  </w:style>
  <w:style w:type="paragraph" w:customStyle="1" w:styleId="21">
    <w:name w:val="Body text|4"/>
    <w:basedOn w:val="1"/>
    <w:link w:val="20"/>
    <w:qFormat/>
    <w:uiPriority w:val="0"/>
    <w:rPr>
      <w:rFonts w:ascii="宋体" w:hAnsi="宋体" w:eastAsia="宋体" w:cs="宋体"/>
      <w:color w:val="232323"/>
      <w:sz w:val="18"/>
      <w:szCs w:val="18"/>
      <w:lang w:val="zh-TW" w:eastAsia="zh-TW" w:bidi="zh-TW"/>
    </w:rPr>
  </w:style>
  <w:style w:type="character" w:customStyle="1" w:styleId="22">
    <w:name w:val="Other|1_"/>
    <w:basedOn w:val="9"/>
    <w:link w:val="23"/>
    <w:qFormat/>
    <w:uiPriority w:val="0"/>
    <w:rPr>
      <w:rFonts w:ascii="宋体" w:hAnsi="宋体" w:eastAsia="宋体" w:cs="宋体"/>
      <w:color w:val="232323"/>
      <w:sz w:val="28"/>
      <w:szCs w:val="28"/>
      <w:u w:val="none"/>
      <w:shd w:val="clear" w:color="auto" w:fill="auto"/>
      <w:lang w:val="zh-TW" w:eastAsia="zh-TW" w:bidi="zh-TW"/>
    </w:rPr>
  </w:style>
  <w:style w:type="paragraph" w:customStyle="1" w:styleId="23">
    <w:name w:val="Other|1"/>
    <w:basedOn w:val="1"/>
    <w:link w:val="22"/>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4">
    <w:name w:val="Body text|2_"/>
    <w:basedOn w:val="9"/>
    <w:link w:val="25"/>
    <w:qFormat/>
    <w:uiPriority w:val="0"/>
    <w:rPr>
      <w:rFonts w:ascii="宋体" w:hAnsi="宋体" w:eastAsia="宋体" w:cs="宋体"/>
      <w:color w:val="232323"/>
      <w:sz w:val="20"/>
      <w:szCs w:val="20"/>
      <w:u w:val="none"/>
      <w:shd w:val="clear" w:color="auto" w:fill="auto"/>
      <w:lang w:val="zh-TW" w:eastAsia="zh-TW" w:bidi="zh-TW"/>
    </w:rPr>
  </w:style>
  <w:style w:type="paragraph" w:customStyle="1" w:styleId="25">
    <w:name w:val="Body text|2"/>
    <w:basedOn w:val="1"/>
    <w:link w:val="24"/>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6">
    <w:name w:val="Table caption|1_"/>
    <w:basedOn w:val="9"/>
    <w:link w:val="27"/>
    <w:qFormat/>
    <w:uiPriority w:val="0"/>
    <w:rPr>
      <w:rFonts w:ascii="宋体" w:hAnsi="宋体" w:eastAsia="宋体" w:cs="宋体"/>
      <w:color w:val="232323"/>
      <w:sz w:val="22"/>
      <w:szCs w:val="22"/>
      <w:u w:val="none"/>
      <w:shd w:val="clear" w:color="auto" w:fill="auto"/>
      <w:lang w:val="zh-TW" w:eastAsia="zh-TW" w:bidi="zh-TW"/>
    </w:rPr>
  </w:style>
  <w:style w:type="paragraph" w:customStyle="1" w:styleId="27">
    <w:name w:val="Table caption|1"/>
    <w:basedOn w:val="1"/>
    <w:link w:val="26"/>
    <w:qFormat/>
    <w:uiPriority w:val="0"/>
    <w:pPr>
      <w:spacing w:line="307" w:lineRule="exact"/>
    </w:pPr>
    <w:rPr>
      <w:rFonts w:ascii="宋体" w:hAnsi="宋体" w:eastAsia="宋体" w:cs="宋体"/>
      <w:color w:val="232323"/>
      <w:sz w:val="22"/>
      <w:szCs w:val="22"/>
      <w:lang w:val="zh-TW" w:eastAsia="zh-TW" w:bidi="zh-TW"/>
    </w:rPr>
  </w:style>
  <w:style w:type="character" w:customStyle="1" w:styleId="28">
    <w:name w:val="Body text|3_"/>
    <w:basedOn w:val="9"/>
    <w:link w:val="29"/>
    <w:qFormat/>
    <w:uiPriority w:val="0"/>
    <w:rPr>
      <w:color w:val="232323"/>
      <w:sz w:val="20"/>
      <w:szCs w:val="20"/>
      <w:u w:val="none"/>
      <w:shd w:val="clear" w:color="auto" w:fill="auto"/>
      <w:lang w:val="zh-TW" w:eastAsia="zh-TW" w:bidi="zh-TW"/>
    </w:rPr>
  </w:style>
  <w:style w:type="paragraph" w:customStyle="1" w:styleId="29">
    <w:name w:val="Body text|3"/>
    <w:basedOn w:val="1"/>
    <w:link w:val="28"/>
    <w:qFormat/>
    <w:uiPriority w:val="0"/>
    <w:pPr>
      <w:spacing w:after="140"/>
      <w:ind w:firstLine="720"/>
    </w:pPr>
    <w:rPr>
      <w:color w:val="232323"/>
      <w:sz w:val="20"/>
      <w:szCs w:val="20"/>
      <w:lang w:val="zh-TW" w:eastAsia="zh-TW" w:bidi="zh-TW"/>
    </w:rPr>
  </w:style>
  <w:style w:type="character" w:customStyle="1" w:styleId="30">
    <w:name w:val="Header or footer|1_"/>
    <w:basedOn w:val="9"/>
    <w:link w:val="31"/>
    <w:qFormat/>
    <w:uiPriority w:val="0"/>
    <w:rPr>
      <w:u w:val="none"/>
      <w:shd w:val="clear" w:color="auto" w:fill="auto"/>
      <w:lang w:val="zh-TW" w:eastAsia="zh-TW" w:bidi="zh-TW"/>
    </w:rPr>
  </w:style>
  <w:style w:type="paragraph" w:customStyle="1" w:styleId="31">
    <w:name w:val="Header or footer|1"/>
    <w:basedOn w:val="1"/>
    <w:link w:val="30"/>
    <w:qFormat/>
    <w:uiPriority w:val="0"/>
    <w:pPr>
      <w:jc w:val="right"/>
    </w:pPr>
    <w:rPr>
      <w:lang w:val="zh-TW" w:eastAsia="zh-TW" w:bidi="zh-TW"/>
    </w:rPr>
  </w:style>
  <w:style w:type="character" w:customStyle="1" w:styleId="32">
    <w:name w:val="Picture caption|1_"/>
    <w:basedOn w:val="9"/>
    <w:link w:val="33"/>
    <w:qFormat/>
    <w:uiPriority w:val="0"/>
    <w:rPr>
      <w:rFonts w:ascii="宋体" w:hAnsi="宋体" w:eastAsia="宋体" w:cs="宋体"/>
      <w:color w:val="232323"/>
      <w:sz w:val="20"/>
      <w:szCs w:val="20"/>
      <w:u w:val="none"/>
      <w:shd w:val="clear" w:color="auto" w:fill="auto"/>
      <w:lang w:val="zh-TW" w:eastAsia="zh-TW" w:bidi="zh-TW"/>
    </w:rPr>
  </w:style>
  <w:style w:type="paragraph" w:customStyle="1" w:styleId="33">
    <w:name w:val="Picture caption|1"/>
    <w:basedOn w:val="1"/>
    <w:link w:val="32"/>
    <w:qFormat/>
    <w:uiPriority w:val="0"/>
    <w:rPr>
      <w:rFonts w:ascii="宋体" w:hAnsi="宋体" w:eastAsia="宋体" w:cs="宋体"/>
      <w:color w:val="232323"/>
      <w:sz w:val="20"/>
      <w:szCs w:val="20"/>
      <w:lang w:val="zh-TW" w:eastAsia="zh-TW" w:bidi="zh-TW"/>
    </w:rPr>
  </w:style>
  <w:style w:type="character" w:customStyle="1" w:styleId="34">
    <w:name w:val="页眉 字符"/>
    <w:basedOn w:val="9"/>
    <w:link w:val="5"/>
    <w:qFormat/>
    <w:uiPriority w:val="0"/>
    <w:rPr>
      <w:rFonts w:eastAsia="Times New Roman"/>
      <w:color w:val="000000"/>
      <w:sz w:val="18"/>
      <w:szCs w:val="18"/>
      <w:lang w:eastAsia="en-US" w:bidi="en-US"/>
    </w:rPr>
  </w:style>
  <w:style w:type="character" w:customStyle="1" w:styleId="35">
    <w:name w:val="页脚 字符"/>
    <w:basedOn w:val="9"/>
    <w:link w:val="4"/>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8367</Words>
  <Characters>8817</Characters>
  <Lines>28</Lines>
  <Paragraphs>8</Paragraphs>
  <TotalTime>8</TotalTime>
  <ScaleCrop>false</ScaleCrop>
  <LinksUpToDate>false</LinksUpToDate>
  <CharactersWithSpaces>10060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2020-09-30T18:17:00Z</dcterms:created>
  <dc:creator>li_yoo</dc:creator>
  <cp:lastModifiedBy>重拾故笺</cp:lastModifiedBy>
  <cp:lastPrinted>2022-03-12T18:50:00Z</cp:lastPrinted>
  <dcterms:modified xsi:type="dcterms:W3CDTF">2022-04-07T02:32:33Z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4E6C8F2CEC7C43519A2F55976BF67B1A</vt:lpwstr>
  </property>
</Properties>
</file>