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highlight w:val="none"/>
          <w:lang w:val="en-US" w:eastAsia="zh-CN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highlight w:val="none"/>
          <w:lang w:val="en-US" w:eastAsia="zh-CN" w:bidi="zh-TW"/>
        </w:rPr>
        <w:t>蓬江区人才住房配套车位配售申请表</w:t>
      </w:r>
    </w:p>
    <w:tbl>
      <w:tblPr>
        <w:tblStyle w:val="5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5"/>
        <w:gridCol w:w="1608"/>
        <w:gridCol w:w="1056"/>
        <w:gridCol w:w="1194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（签名）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身份证号码</w:t>
            </w:r>
          </w:p>
        </w:tc>
        <w:tc>
          <w:tcPr>
            <w:tcW w:w="442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（学位）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婚姻状况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工作单位名称（电话）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技术资格      （职业资格）</w:t>
            </w:r>
          </w:p>
        </w:tc>
        <w:tc>
          <w:tcPr>
            <w:tcW w:w="4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已购买房屋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 址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所属范围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在我区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就业创业人才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在我区以外就业创业且经认定、评定或举荐的江门市高层次人才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申请类型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□一级高层次人才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□二级高层次人才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□三级高层次人才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取得博士研究生学历的人才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取得硕士研究生学历，或具备中级专业技术资格，或具备技师职业资格（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技能等级），或符合《江门市急需紧缺产业人才目录》的人才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规模以上工业企业、新供地亿元以上投资项目所属企业推荐的取得本科学历，或具备高级工职业资格（技能等级）的人才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取得本科学历，或具备高级工职业资格（技能等级）的人才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bidi="ar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注：我区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以外就业创业人才仅可勾“✓”选“一级高层次人才”“二级高层次人才”“三级高层次人才”栏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提交材料清单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□申请人本人及其配偶、子女身份证明（身份证、户口本、护照）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□申请人高层次人才证明、学历证明材料（相关学历学位鉴定或网上查询结果或认证报告）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专业技术资格证书或国家职业资格证书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□劳动合同（申请人为法定代表人的，以《营业执照》核定）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□缴纳社会保险费或个人所得税记录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住房不动产权证明、房屋权属登记情况查询授权书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□其他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申请人承诺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本人承诺在购买人才住房后江门市（蓬江区）连续工作服务年限不少于3年，工作期间遵守合约，履行职责和义务。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本人提交的信息真实有效，现申请配售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人才住房配套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20" w:firstLineChars="1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工作单位审核意见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经审核，情况属实，申报材料和填报信息均真实、准确。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单位负责人签名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          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区住房和城乡建设局审核意见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 经审核，申请人符合条件，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公示期间没有收到异议，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同意配售。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□ 经审核，申请人不符合条件。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360" w:firstLineChars="14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：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意向车位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意向车位：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bidi="ar"/>
        </w:rPr>
        <w:t>注：该表格一式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eastAsia="zh-CN" w:bidi="ar"/>
        </w:rPr>
        <w:t>两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bidi="ar"/>
        </w:rPr>
        <w:t>份。</w:t>
      </w:r>
    </w:p>
    <w:p>
      <w:pPr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房屋权属登记情况查询授权书</w:t>
      </w:r>
    </w:p>
    <w:p>
      <w:pPr>
        <w:pStyle w:val="3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区住房和城乡建设局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江门市蓬江区人民政府关于印发&lt;江门市蓬江区人才安居暂行办法&gt;的通知》（蓬江府〔202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及江门市蓬江区2025年人才住房及配套车位配售方案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，因本人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向贵局申请仅配售人才住房配套车位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，现委托贵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向江门市不动产登记中心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查询本人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滨江碧桂园、美卓花园、华强国际公馆、保利悦公馆、骏景湾领峰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小区的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  <w:t>住房产权登记信息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情况，查询获得的住房产权登记信息结果只限用于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人才住房配套车位配售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textAlignment w:val="auto"/>
        <w:rPr>
          <w:rFonts w:hint="eastAsia" w:eastAsia="仿宋_GB2312"/>
          <w:b/>
          <w:bCs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购房申请人自报在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滨江碧桂园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小区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/>
        </w:rPr>
        <w:t>住房产权登记信息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如下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建筑面积以不动产权证书为准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：</w:t>
      </w:r>
    </w:p>
    <w:tbl>
      <w:tblPr>
        <w:tblStyle w:val="6"/>
        <w:tblpPr w:leftFromText="180" w:rightFromText="180" w:vertAnchor="text" w:horzAnchor="page" w:tblpXSpec="center" w:tblpY="196"/>
        <w:tblOverlap w:val="never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32"/>
        <w:gridCol w:w="2446"/>
        <w:gridCol w:w="1042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申请人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拥有住房产权地址（只需填写配套车位所在小区的住房地址）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建筑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面积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住房来源类型（购买、继承、赠与、司法拍卖、拆迁补偿、安置补偿、集体土地自建房）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授权日期：      年    月   日</w:t>
      </w:r>
    </w:p>
    <w:sectPr>
      <w:pgSz w:w="11906" w:h="16838"/>
      <w:pgMar w:top="1984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jdiNzk0MjQzNmQzMWY1Nzc4YjA3MWNjYzhlMmMifQ=="/>
  </w:docVars>
  <w:rsids>
    <w:rsidRoot w:val="00000000"/>
    <w:rsid w:val="09367DBF"/>
    <w:rsid w:val="13F6294C"/>
    <w:rsid w:val="1F6115C2"/>
    <w:rsid w:val="2AC61AEA"/>
    <w:rsid w:val="2AF6714A"/>
    <w:rsid w:val="386262A4"/>
    <w:rsid w:val="3E3143FD"/>
    <w:rsid w:val="428D579B"/>
    <w:rsid w:val="4A0D3523"/>
    <w:rsid w:val="575E7BFD"/>
    <w:rsid w:val="58242BB1"/>
    <w:rsid w:val="5CFE49EF"/>
    <w:rsid w:val="67BA94AB"/>
    <w:rsid w:val="6E33674F"/>
    <w:rsid w:val="6FB69236"/>
    <w:rsid w:val="7BDF717C"/>
    <w:rsid w:val="7D3B9891"/>
    <w:rsid w:val="7EA63A70"/>
    <w:rsid w:val="7FF3AF7A"/>
    <w:rsid w:val="DAFFC7FF"/>
    <w:rsid w:val="E3F74EB0"/>
    <w:rsid w:val="FAFE4043"/>
    <w:rsid w:val="FFFFA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1"/>
    <w:pPr>
      <w:widowControl w:val="0"/>
      <w:ind w:left="118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First Indent"/>
    <w:next w:val="1"/>
    <w:qFormat/>
    <w:uiPriority w:val="0"/>
    <w:pPr>
      <w:widowControl w:val="0"/>
      <w:ind w:left="118" w:firstLine="420" w:firstLineChars="1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718</Characters>
  <Lines>0</Lines>
  <Paragraphs>0</Paragraphs>
  <TotalTime>13</TotalTime>
  <ScaleCrop>false</ScaleCrop>
  <LinksUpToDate>false</LinksUpToDate>
  <CharactersWithSpaces>873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2023-07-15T17:17:00Z</dcterms:created>
  <dc:creator>rcd1</dc:creator>
  <cp:lastModifiedBy>蓬江住建陆东华</cp:lastModifiedBy>
  <cp:lastPrinted>2023-07-16T00:25:00Z</cp:lastPrinted>
  <dcterms:modified xsi:type="dcterms:W3CDTF">2025-06-30T16:27:09Z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D582C877E0904AF7A745FB0C039380A5_12</vt:lpwstr>
  </property>
  <property fmtid="{D5CDD505-2E9C-101B-9397-08002B2CF9AE}" pid="4" name="KSOTemplateDocerSaveRecord">
    <vt:lpwstr>eyJoZGlkIjoiN2M1NzZlYTMzZjU0MGUwZDkxYTMzZmI5M2Y3NmNjM2YiLCJ1c2VySWQiOiI5MDI0MzIxMTAifQ==</vt:lpwstr>
  </property>
</Properties>
</file>